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7777777" w:rsidR="00C84708" w:rsidRPr="003546AE" w:rsidRDefault="00BC1208" w:rsidP="00C84708">
      <w:pPr>
        <w:pStyle w:val="Title"/>
        <w:jc w:val="center"/>
        <w:rPr>
          <w:rFonts w:eastAsia="Times New Roman"/>
        </w:rPr>
      </w:pPr>
      <w:r>
        <w:rPr>
          <w:noProof/>
        </w:rPr>
        <w:drawing>
          <wp:inline distT="0" distB="0" distL="0" distR="0" wp14:anchorId="03213FB9" wp14:editId="24496296">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86125" cy="969645"/>
                    </a:xfrm>
                    <a:prstGeom prst="rect">
                      <a:avLst/>
                    </a:prstGeom>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proofErr w:type="spellStart"/>
      <w:r w:rsidR="00C84708">
        <w:t>Microcredential</w:t>
      </w:r>
      <w:proofErr w:type="spellEnd"/>
      <w:r w:rsidR="00C84708">
        <w:t xml:space="preserve">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A4B743A" w:rsidR="00C84708" w:rsidRPr="003546AE" w:rsidRDefault="00642EB7" w:rsidP="00C84708">
            <w:pPr>
              <w:spacing w:after="0" w:line="240" w:lineRule="auto"/>
              <w:rPr>
                <w:rFonts w:eastAsia="Times New Roman" w:cstheme="minorHAnsi"/>
              </w:rPr>
            </w:pPr>
            <w:r>
              <w:rPr>
                <w:rFonts w:eastAsia="Times New Roman" w:cstheme="minorHAnsi"/>
              </w:rPr>
              <w:t>National College of Ireland (NCI)</w:t>
            </w:r>
          </w:p>
        </w:tc>
      </w:tr>
      <w:tr w:rsidR="00C84708" w:rsidRPr="003546AE" w14:paraId="2D07F48F" w14:textId="77777777" w:rsidTr="0083174F">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shd w:val="clear" w:color="auto" w:fill="auto"/>
          </w:tcPr>
          <w:p w14:paraId="4C4C7A98" w14:textId="5614907C" w:rsidR="00C84708" w:rsidRPr="003546AE" w:rsidRDefault="009E6F9F" w:rsidP="00C84708">
            <w:pPr>
              <w:spacing w:after="0" w:line="240" w:lineRule="auto"/>
              <w:rPr>
                <w:rFonts w:eastAsia="Times New Roman" w:cstheme="minorHAnsi"/>
              </w:rPr>
            </w:pPr>
            <w:r>
              <w:rPr>
                <w:rFonts w:eastAsia="Times New Roman" w:cstheme="minorHAnsi"/>
              </w:rPr>
              <w:t>4 May 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4AC56F57" w:rsidR="00C84708" w:rsidRPr="003546AE" w:rsidRDefault="00D028F8" w:rsidP="00C84708">
            <w:pPr>
              <w:spacing w:after="0" w:line="240" w:lineRule="auto"/>
              <w:rPr>
                <w:rFonts w:eastAsia="Times New Roman" w:cstheme="minorHAnsi"/>
              </w:rPr>
            </w:pPr>
            <w:r>
              <w:rPr>
                <w:rFonts w:eastAsia="Times New Roman" w:cstheme="minorHAnsi"/>
              </w:rPr>
              <w:t xml:space="preserve">Certificate in </w:t>
            </w:r>
            <w:r w:rsidR="00667AD3">
              <w:rPr>
                <w:rFonts w:eastAsia="Times New Roman" w:cstheme="minorHAnsi"/>
              </w:rPr>
              <w:t>Leadership, Governance and Change Management</w:t>
            </w:r>
            <w:r>
              <w:rPr>
                <w:rFonts w:eastAsia="Times New Roman" w:cstheme="minorHAnsi"/>
              </w:rPr>
              <w:t xml:space="preserve"> for Early Childhood Home Visiting</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1B9C49FA" w:rsidR="00C84708" w:rsidRPr="003546AE" w:rsidRDefault="00667AD3" w:rsidP="00C84708">
            <w:pPr>
              <w:spacing w:after="0" w:line="240" w:lineRule="auto"/>
              <w:rPr>
                <w:rFonts w:eastAsia="Times New Roman" w:cstheme="minorHAnsi"/>
              </w:rPr>
            </w:pPr>
            <w:r>
              <w:rPr>
                <w:rFonts w:eastAsia="Times New Roman" w:cstheme="minorHAnsi"/>
              </w:rPr>
              <w:t>10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7689585F" w:rsidR="00922143" w:rsidRPr="003546AE" w:rsidRDefault="00642EB7" w:rsidP="00C84708">
            <w:pPr>
              <w:spacing w:after="0" w:line="240" w:lineRule="auto"/>
              <w:rPr>
                <w:rFonts w:eastAsia="Times New Roman" w:cstheme="minorHAnsi"/>
              </w:rPr>
            </w:pPr>
            <w:r>
              <w:rPr>
                <w:rFonts w:eastAsia="Times New Roman" w:cstheme="minorHAnsi"/>
              </w:rPr>
              <w:t xml:space="preserve">Level </w:t>
            </w:r>
            <w:r w:rsidR="00667AD3">
              <w:rPr>
                <w:rFonts w:eastAsia="Times New Roman" w:cstheme="minorHAnsi"/>
              </w:rPr>
              <w:t>7</w:t>
            </w:r>
          </w:p>
        </w:tc>
      </w:tr>
      <w:tr w:rsidR="00C84708" w:rsidRPr="003546AE" w14:paraId="44BC099E" w14:textId="77777777" w:rsidTr="0083174F">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30968A88" w:rsidR="00C84708" w:rsidRPr="00BC0BF3" w:rsidRDefault="00BC0BF3" w:rsidP="00C84708">
            <w:pPr>
              <w:spacing w:after="0" w:line="240" w:lineRule="auto"/>
              <w:rPr>
                <w:rFonts w:eastAsia="Times New Roman" w:cstheme="minorHAnsi"/>
                <w:b/>
                <w:bCs/>
              </w:rPr>
            </w:pPr>
            <w:r w:rsidRPr="00BC0BF3">
              <w:rPr>
                <w:rFonts w:eastAsia="Times New Roman" w:cstheme="minorHAnsi"/>
                <w:b/>
                <w:bCs/>
              </w:rPr>
              <w:t>Satisfactory subject to proposed conditions</w:t>
            </w:r>
          </w:p>
        </w:tc>
      </w:tr>
    </w:tbl>
    <w:p w14:paraId="45C20BFD" w14:textId="77777777" w:rsidR="00C84708" w:rsidRPr="00C84708" w:rsidRDefault="00C84708" w:rsidP="006B574C"/>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642EB7" w:rsidRPr="003546AE" w14:paraId="1BB6877D" w14:textId="77777777" w:rsidTr="008948AF">
        <w:tc>
          <w:tcPr>
            <w:tcW w:w="2127" w:type="dxa"/>
            <w:shd w:val="clear" w:color="auto" w:fill="auto"/>
            <w:vAlign w:val="center"/>
          </w:tcPr>
          <w:p w14:paraId="0F245B93" w14:textId="2D10B118" w:rsidR="00642EB7" w:rsidRPr="003546AE" w:rsidRDefault="00D028F8" w:rsidP="008948AF">
            <w:pPr>
              <w:keepNext/>
              <w:keepLines/>
              <w:numPr>
                <w:ilvl w:val="1"/>
                <w:numId w:val="0"/>
              </w:numPr>
              <w:spacing w:before="40" w:line="276" w:lineRule="auto"/>
              <w:outlineLvl w:val="1"/>
              <w:rPr>
                <w:rFonts w:eastAsia="MS Gothic" w:cstheme="minorHAnsi"/>
              </w:rPr>
            </w:pPr>
            <w:r>
              <w:rPr>
                <w:rFonts w:eastAsia="MS Gothic" w:cstheme="minorHAnsi"/>
              </w:rPr>
              <w:t>Dr Eric Derr</w:t>
            </w:r>
          </w:p>
        </w:tc>
        <w:tc>
          <w:tcPr>
            <w:tcW w:w="2551" w:type="dxa"/>
            <w:shd w:val="clear" w:color="auto" w:fill="auto"/>
            <w:vAlign w:val="center"/>
          </w:tcPr>
          <w:p w14:paraId="00D9C310"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vAlign w:val="center"/>
          </w:tcPr>
          <w:p w14:paraId="3D1CFA2E" w14:textId="1E4C23D2" w:rsidR="00642EB7" w:rsidRPr="00642EB7" w:rsidRDefault="00D028F8" w:rsidP="008948AF">
            <w:pPr>
              <w:pStyle w:val="TableParagraph"/>
              <w:ind w:right="-4"/>
              <w:rPr>
                <w:rFonts w:cstheme="minorHAnsi"/>
                <w:color w:val="000000" w:themeColor="text1"/>
                <w:szCs w:val="21"/>
              </w:rPr>
            </w:pPr>
            <w:r>
              <w:rPr>
                <w:rFonts w:cstheme="minorHAnsi"/>
                <w:color w:val="000000" w:themeColor="text1"/>
                <w:szCs w:val="21"/>
              </w:rPr>
              <w:t>QA Officer</w:t>
            </w:r>
            <w:r w:rsidR="00642EB7" w:rsidRPr="00642EB7">
              <w:rPr>
                <w:rFonts w:cstheme="minorHAnsi"/>
                <w:color w:val="000000" w:themeColor="text1"/>
                <w:szCs w:val="21"/>
              </w:rPr>
              <w:t xml:space="preserve">, </w:t>
            </w:r>
            <w:r>
              <w:rPr>
                <w:rFonts w:cstheme="minorHAnsi"/>
                <w:color w:val="000000" w:themeColor="text1"/>
                <w:szCs w:val="21"/>
              </w:rPr>
              <w:t>Carlow College</w:t>
            </w:r>
            <w:r w:rsidR="00621378">
              <w:rPr>
                <w:rFonts w:cstheme="minorHAnsi"/>
                <w:color w:val="000000" w:themeColor="text1"/>
                <w:szCs w:val="21"/>
              </w:rPr>
              <w:t>, St. Patrick’s</w:t>
            </w:r>
          </w:p>
        </w:tc>
      </w:tr>
      <w:tr w:rsidR="00642EB7" w:rsidRPr="003546AE" w14:paraId="1B3F3030" w14:textId="77777777" w:rsidTr="008948AF">
        <w:trPr>
          <w:trHeight w:val="315"/>
        </w:trPr>
        <w:tc>
          <w:tcPr>
            <w:tcW w:w="2127" w:type="dxa"/>
            <w:shd w:val="clear" w:color="auto" w:fill="auto"/>
            <w:vAlign w:val="center"/>
          </w:tcPr>
          <w:p w14:paraId="44787E02" w14:textId="58DE4DFF" w:rsidR="00642EB7" w:rsidRPr="003546AE" w:rsidRDefault="008948AF" w:rsidP="008948AF">
            <w:pPr>
              <w:keepNext/>
              <w:keepLines/>
              <w:numPr>
                <w:ilvl w:val="1"/>
                <w:numId w:val="0"/>
              </w:numPr>
              <w:spacing w:before="40" w:line="276" w:lineRule="auto"/>
              <w:outlineLvl w:val="1"/>
              <w:rPr>
                <w:rFonts w:eastAsia="MS Gothic" w:cstheme="minorHAnsi"/>
              </w:rPr>
            </w:pPr>
            <w:r>
              <w:rPr>
                <w:rFonts w:eastAsia="MS Gothic" w:cstheme="minorHAnsi"/>
              </w:rPr>
              <w:t xml:space="preserve">Dr </w:t>
            </w:r>
            <w:r w:rsidR="00D028F8">
              <w:rPr>
                <w:rFonts w:eastAsia="MS Gothic" w:cstheme="minorHAnsi"/>
              </w:rPr>
              <w:t>Sheila Garrity</w:t>
            </w:r>
          </w:p>
        </w:tc>
        <w:tc>
          <w:tcPr>
            <w:tcW w:w="2551" w:type="dxa"/>
            <w:shd w:val="clear" w:color="auto" w:fill="auto"/>
            <w:vAlign w:val="center"/>
          </w:tcPr>
          <w:p w14:paraId="5D86E406"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vAlign w:val="center"/>
          </w:tcPr>
          <w:p w14:paraId="1AE69718" w14:textId="4EC68E00" w:rsidR="00642EB7" w:rsidRPr="00642EB7" w:rsidRDefault="00D028F8" w:rsidP="008948AF">
            <w:pPr>
              <w:pStyle w:val="TableParagraph"/>
              <w:spacing w:line="268" w:lineRule="exact"/>
              <w:rPr>
                <w:rFonts w:eastAsia="MS Gothic" w:cstheme="minorHAnsi"/>
              </w:rPr>
            </w:pPr>
            <w:r>
              <w:rPr>
                <w:rFonts w:eastAsiaTheme="minorEastAsia" w:cstheme="minorHAnsi"/>
                <w:sz w:val="21"/>
                <w:szCs w:val="21"/>
                <w:lang w:val="en-GB"/>
              </w:rPr>
              <w:t xml:space="preserve">Lecturer, </w:t>
            </w:r>
            <w:r w:rsidRPr="00D028F8">
              <w:rPr>
                <w:rFonts w:eastAsiaTheme="minorEastAsia" w:cstheme="minorHAnsi"/>
                <w:sz w:val="21"/>
                <w:szCs w:val="21"/>
                <w:lang w:val="en-GB"/>
              </w:rPr>
              <w:t>School of Political Science &amp; Sociology, NUI Galway</w:t>
            </w:r>
          </w:p>
        </w:tc>
      </w:tr>
      <w:tr w:rsidR="00642EB7" w:rsidRPr="003546AE" w14:paraId="42577048" w14:textId="77777777" w:rsidTr="008948AF">
        <w:trPr>
          <w:trHeight w:val="315"/>
        </w:trPr>
        <w:tc>
          <w:tcPr>
            <w:tcW w:w="2127" w:type="dxa"/>
            <w:shd w:val="clear" w:color="auto" w:fill="auto"/>
            <w:vAlign w:val="center"/>
          </w:tcPr>
          <w:p w14:paraId="00E80125" w14:textId="3C3F5E16" w:rsidR="00642EB7" w:rsidRPr="003546AE" w:rsidRDefault="00D028F8" w:rsidP="008948AF">
            <w:pPr>
              <w:keepNext/>
              <w:keepLines/>
              <w:numPr>
                <w:ilvl w:val="1"/>
                <w:numId w:val="0"/>
              </w:numPr>
              <w:spacing w:before="40" w:line="276" w:lineRule="auto"/>
              <w:outlineLvl w:val="1"/>
              <w:rPr>
                <w:rFonts w:eastAsia="MS Gothic" w:cstheme="minorHAnsi"/>
              </w:rPr>
            </w:pPr>
            <w:r>
              <w:rPr>
                <w:rFonts w:eastAsia="MS Gothic" w:cstheme="minorHAnsi"/>
              </w:rPr>
              <w:t>Prof Emer Ring</w:t>
            </w:r>
          </w:p>
        </w:tc>
        <w:tc>
          <w:tcPr>
            <w:tcW w:w="2551" w:type="dxa"/>
            <w:shd w:val="clear" w:color="auto" w:fill="auto"/>
            <w:vAlign w:val="center"/>
          </w:tcPr>
          <w:p w14:paraId="5F808D3B" w14:textId="176A4E39"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Subject Matter Expert</w:t>
            </w:r>
          </w:p>
        </w:tc>
        <w:tc>
          <w:tcPr>
            <w:tcW w:w="4394" w:type="dxa"/>
            <w:shd w:val="clear" w:color="auto" w:fill="auto"/>
            <w:vAlign w:val="center"/>
          </w:tcPr>
          <w:p w14:paraId="61B6F164" w14:textId="640A2BF1" w:rsidR="00642EB7" w:rsidRPr="00642EB7" w:rsidRDefault="00D028F8" w:rsidP="008948AF">
            <w:pPr>
              <w:shd w:val="clear" w:color="auto" w:fill="FFFFFF"/>
              <w:ind w:left="138"/>
              <w:rPr>
                <w:rFonts w:eastAsia="MS Gothic" w:cstheme="minorHAnsi"/>
              </w:rPr>
            </w:pPr>
            <w:r>
              <w:t>Dean of Education, Mary Immaculate College</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201EDF"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5D1ACFEC" w14:textId="42B664C9" w:rsidR="00E7670B" w:rsidRDefault="00E7670B" w:rsidP="00621378">
            <w:pPr>
              <w:autoSpaceDE w:val="0"/>
              <w:autoSpaceDN w:val="0"/>
              <w:adjustRightInd w:val="0"/>
              <w:spacing w:line="240" w:lineRule="auto"/>
              <w:jc w:val="both"/>
              <w:rPr>
                <w:lang w:eastAsia="en-IE"/>
              </w:rPr>
            </w:pPr>
            <w:r>
              <w:rPr>
                <w:lang w:eastAsia="en-IE"/>
              </w:rPr>
              <w:t xml:space="preserve">The </w:t>
            </w:r>
            <w:r w:rsidRPr="00621378">
              <w:rPr>
                <w:i/>
                <w:iCs/>
                <w:lang w:eastAsia="en-IE"/>
              </w:rPr>
              <w:t>Certificate in Leadership, Governance and Change Management in Early Childhood Home Visiting</w:t>
            </w:r>
            <w:r>
              <w:rPr>
                <w:lang w:eastAsia="en-IE"/>
              </w:rPr>
              <w:t xml:space="preserve"> is a single module micro-credential </w:t>
            </w:r>
            <w:r w:rsidR="0044537F">
              <w:rPr>
                <w:lang w:eastAsia="en-IE"/>
              </w:rPr>
              <w:t xml:space="preserve">programme </w:t>
            </w:r>
            <w:r>
              <w:rPr>
                <w:lang w:eastAsia="en-IE"/>
              </w:rPr>
              <w:t>aimed at providing Home Visitor coordinators working with the NCI Early Learning initiative (ELI) with the skills, knowledge and values required to competently lead, support, guide and supervise home visitors in their role of supporting parents. The module being proposed as a micro-credential</w:t>
            </w:r>
            <w:r w:rsidR="0044537F">
              <w:rPr>
                <w:lang w:eastAsia="en-IE"/>
              </w:rPr>
              <w:t xml:space="preserve"> programme</w:t>
            </w:r>
            <w:r>
              <w:rPr>
                <w:lang w:eastAsia="en-IE"/>
              </w:rPr>
              <w:t xml:space="preserve">, Leadership and Governance in ECEC Environments, is a mandatory Stage 3 module on the Bachelor of Arts (Honours) in Early Childhood Education and Care. The title, learning outcomes, indicative content and assessment strategy of this module have been modified slightly to reflect the emphasis placed on the early childhood home visiting context in the micro-credential programme.     </w:t>
            </w:r>
          </w:p>
          <w:p w14:paraId="7CBE37E5" w14:textId="04BCFB7D" w:rsidR="00E7670B" w:rsidRDefault="00E7670B" w:rsidP="00621378">
            <w:pPr>
              <w:autoSpaceDE w:val="0"/>
              <w:autoSpaceDN w:val="0"/>
              <w:adjustRightInd w:val="0"/>
              <w:spacing w:line="240" w:lineRule="auto"/>
              <w:jc w:val="both"/>
              <w:rPr>
                <w:lang w:eastAsia="en-IE"/>
              </w:rPr>
            </w:pPr>
            <w:r>
              <w:rPr>
                <w:lang w:eastAsia="en-IE"/>
              </w:rPr>
              <w:t>Home Visiting is a local peer-led community lifeline for most at-risk children (0-4years) and families. Employing early school leavers</w:t>
            </w:r>
            <w:r w:rsidR="00621378">
              <w:rPr>
                <w:lang w:eastAsia="en-IE"/>
              </w:rPr>
              <w:t xml:space="preserve"> </w:t>
            </w:r>
            <w:r>
              <w:rPr>
                <w:lang w:eastAsia="en-IE"/>
              </w:rPr>
              <w:t>/</w:t>
            </w:r>
            <w:r w:rsidR="00621378">
              <w:rPr>
                <w:lang w:eastAsia="en-IE"/>
              </w:rPr>
              <w:t xml:space="preserve"> </w:t>
            </w:r>
            <w:r>
              <w:rPr>
                <w:lang w:eastAsia="en-IE"/>
              </w:rPr>
              <w:t>former programme parents</w:t>
            </w:r>
            <w:r w:rsidR="00621378">
              <w:rPr>
                <w:lang w:eastAsia="en-IE"/>
              </w:rPr>
              <w:t xml:space="preserve"> </w:t>
            </w:r>
            <w:r>
              <w:rPr>
                <w:lang w:eastAsia="en-IE"/>
              </w:rPr>
              <w:t>/</w:t>
            </w:r>
            <w:r w:rsidR="00621378">
              <w:rPr>
                <w:lang w:eastAsia="en-IE"/>
              </w:rPr>
              <w:t xml:space="preserve"> </w:t>
            </w:r>
            <w:r>
              <w:rPr>
                <w:lang w:eastAsia="en-IE"/>
              </w:rPr>
              <w:t>migrants as Home Visitors creates skilled cohesive inclusive supportive local communities. Upskilling home visitors and re-imagining child</w:t>
            </w:r>
            <w:r w:rsidR="00621378">
              <w:rPr>
                <w:lang w:eastAsia="en-IE"/>
              </w:rPr>
              <w:t xml:space="preserve"> </w:t>
            </w:r>
            <w:r>
              <w:rPr>
                <w:lang w:eastAsia="en-IE"/>
              </w:rPr>
              <w:t>/</w:t>
            </w:r>
            <w:r w:rsidR="00621378">
              <w:rPr>
                <w:lang w:eastAsia="en-IE"/>
              </w:rPr>
              <w:t xml:space="preserve"> </w:t>
            </w:r>
            <w:r>
              <w:rPr>
                <w:lang w:eastAsia="en-IE"/>
              </w:rPr>
              <w:t xml:space="preserve">family interventions is needed to increase future engagement and impact. This programme will give coordinators a professional qualification, encourage them to further their education, as well as enhancing the mechanisms and processes behind Home Visiting in line with </w:t>
            </w:r>
            <w:r w:rsidR="00D661CA">
              <w:rPr>
                <w:lang w:eastAsia="en-IE"/>
              </w:rPr>
              <w:t>t</w:t>
            </w:r>
            <w:r>
              <w:rPr>
                <w:lang w:eastAsia="en-IE"/>
              </w:rPr>
              <w:t>he Government</w:t>
            </w:r>
            <w:r w:rsidR="005A0A65">
              <w:rPr>
                <w:lang w:eastAsia="en-IE"/>
              </w:rPr>
              <w:t>’</w:t>
            </w:r>
            <w:r>
              <w:rPr>
                <w:lang w:eastAsia="en-IE"/>
              </w:rPr>
              <w:t xml:space="preserve">s </w:t>
            </w:r>
            <w:r w:rsidR="00D661CA" w:rsidRPr="00C634AE">
              <w:rPr>
                <w:i/>
              </w:rPr>
              <w:t xml:space="preserve">First Five: A Whole-of-Government Strategy for Babies, Young </w:t>
            </w:r>
            <w:proofErr w:type="gramStart"/>
            <w:r w:rsidR="00D661CA" w:rsidRPr="00C634AE">
              <w:rPr>
                <w:i/>
              </w:rPr>
              <w:t>Children</w:t>
            </w:r>
            <w:proofErr w:type="gramEnd"/>
            <w:r w:rsidR="00D661CA" w:rsidRPr="00C634AE">
              <w:rPr>
                <w:i/>
              </w:rPr>
              <w:t xml:space="preserve"> and their Families 2019-2028</w:t>
            </w:r>
            <w:r w:rsidR="00D661CA">
              <w:rPr>
                <w:i/>
              </w:rPr>
              <w:t xml:space="preserve"> </w:t>
            </w:r>
            <w:r w:rsidR="00D661CA">
              <w:rPr>
                <w:rStyle w:val="FootnoteReference"/>
                <w:i/>
              </w:rPr>
              <w:footnoteReference w:id="2"/>
            </w:r>
            <w:r>
              <w:rPr>
                <w:lang w:eastAsia="en-IE"/>
              </w:rPr>
              <w:t xml:space="preserve"> and in response to current and post C</w:t>
            </w:r>
            <w:r w:rsidR="00621378">
              <w:rPr>
                <w:lang w:eastAsia="en-IE"/>
              </w:rPr>
              <w:t>OVID</w:t>
            </w:r>
            <w:r>
              <w:rPr>
                <w:lang w:eastAsia="en-IE"/>
              </w:rPr>
              <w:t>-19 restrictions and challenges.</w:t>
            </w:r>
            <w:r w:rsidR="00D661CA">
              <w:rPr>
                <w:rStyle w:val="FootnoteReference"/>
                <w:lang w:eastAsia="en-IE"/>
              </w:rPr>
              <w:footnoteReference w:id="3"/>
            </w:r>
            <w:r>
              <w:rPr>
                <w:lang w:eastAsia="en-IE"/>
              </w:rPr>
              <w:t xml:space="preserve"> </w:t>
            </w:r>
          </w:p>
          <w:p w14:paraId="777AE43F" w14:textId="0AA2E058" w:rsidR="00201EDF" w:rsidRPr="00F900FF" w:rsidRDefault="00E7670B" w:rsidP="00621378">
            <w:pPr>
              <w:autoSpaceDE w:val="0"/>
              <w:autoSpaceDN w:val="0"/>
              <w:adjustRightInd w:val="0"/>
              <w:spacing w:line="240" w:lineRule="auto"/>
              <w:jc w:val="both"/>
              <w:rPr>
                <w:lang w:eastAsia="en-IE"/>
              </w:rPr>
            </w:pPr>
            <w:r>
              <w:rPr>
                <w:lang w:eastAsia="en-IE"/>
              </w:rPr>
              <w:t xml:space="preserve">The micro-credential </w:t>
            </w:r>
            <w:r w:rsidR="00D661CA">
              <w:rPr>
                <w:lang w:eastAsia="en-IE"/>
              </w:rPr>
              <w:t xml:space="preserve">programme </w:t>
            </w:r>
            <w:r>
              <w:rPr>
                <w:lang w:eastAsia="en-IE"/>
              </w:rPr>
              <w:t>will be delivered over 12 weeks, providing 36 hours of direct teaching to the learners. Assessments will be 100% based on continu</w:t>
            </w:r>
            <w:r w:rsidR="00D661CA">
              <w:rPr>
                <w:lang w:eastAsia="en-IE"/>
              </w:rPr>
              <w:t>ous</w:t>
            </w:r>
            <w:r>
              <w:rPr>
                <w:lang w:eastAsia="en-IE"/>
              </w:rPr>
              <w:t xml:space="preserve"> assessment and will be integrated into the classroom teaching. Through the assessment process, students will be examined on their competencies across the six learning outcomes listed below. In addition to the 36 hours classroom-based teaching, learners will be expected to engage in 214 further hours of self-directed learning, which will comprise of core reading and selective reading tasks, video based learning and reflective practice gained through work experience.</w:t>
            </w:r>
          </w:p>
        </w:tc>
      </w:tr>
      <w:tr w:rsidR="00201EDF" w:rsidRPr="003546AE" w14:paraId="562DA9D0" w14:textId="77777777" w:rsidTr="009F648F">
        <w:tc>
          <w:tcPr>
            <w:tcW w:w="9185" w:type="dxa"/>
            <w:shd w:val="clear" w:color="auto" w:fill="D9E2F3" w:themeFill="accent1" w:themeFillTint="33"/>
          </w:tcPr>
          <w:p w14:paraId="2B2C1BA7" w14:textId="76354228" w:rsidR="00201EDF" w:rsidRPr="003546AE" w:rsidRDefault="00201EDF" w:rsidP="00201EDF">
            <w:pPr>
              <w:spacing w:line="240" w:lineRule="auto"/>
              <w:rPr>
                <w:rFonts w:eastAsia="Times New Roman" w:cstheme="minorHAnsi"/>
              </w:rPr>
            </w:pPr>
            <w:r w:rsidRPr="003546AE">
              <w:rPr>
                <w:rFonts w:eastAsia="Times New Roman" w:cstheme="minorHAnsi"/>
                <w:b/>
              </w:rPr>
              <w:t>Target learner groups</w:t>
            </w:r>
          </w:p>
        </w:tc>
      </w:tr>
      <w:tr w:rsidR="00201EDF" w:rsidRPr="003546AE" w14:paraId="3D77C4CE" w14:textId="77777777" w:rsidTr="009F648F">
        <w:tc>
          <w:tcPr>
            <w:tcW w:w="9185" w:type="dxa"/>
            <w:shd w:val="clear" w:color="auto" w:fill="auto"/>
          </w:tcPr>
          <w:p w14:paraId="00CCB3FD" w14:textId="67AC252C" w:rsidR="005D05EA" w:rsidRDefault="005D05EA" w:rsidP="00621378">
            <w:pPr>
              <w:suppressAutoHyphens/>
              <w:spacing w:line="240" w:lineRule="auto"/>
              <w:jc w:val="both"/>
              <w:rPr>
                <w:rFonts w:eastAsiaTheme="minorEastAsia"/>
                <w:lang w:eastAsia="ar-SA"/>
              </w:rPr>
            </w:pPr>
            <w:r w:rsidRPr="005D05EA">
              <w:rPr>
                <w:rFonts w:eastAsiaTheme="minorEastAsia"/>
                <w:lang w:eastAsia="ar-SA"/>
              </w:rPr>
              <w:t xml:space="preserve">While the principal programme is targeted at learners who would like to work with or for babies and young children from birth to six in the ECEC sector, the target learners for this micro-credential </w:t>
            </w:r>
            <w:r w:rsidR="00D661CA">
              <w:rPr>
                <w:rFonts w:eastAsiaTheme="minorEastAsia"/>
                <w:lang w:eastAsia="ar-SA"/>
              </w:rPr>
              <w:t xml:space="preserve">programme </w:t>
            </w:r>
            <w:r w:rsidRPr="005D05EA">
              <w:rPr>
                <w:rFonts w:eastAsiaTheme="minorEastAsia"/>
                <w:lang w:eastAsia="ar-SA"/>
              </w:rPr>
              <w:t>are existing Home Visitors who currently</w:t>
            </w:r>
            <w:r>
              <w:rPr>
                <w:rFonts w:eastAsiaTheme="minorEastAsia"/>
                <w:lang w:eastAsia="ar-SA"/>
              </w:rPr>
              <w:t xml:space="preserve"> work or</w:t>
            </w:r>
            <w:r w:rsidRPr="005D05EA">
              <w:rPr>
                <w:rFonts w:eastAsiaTheme="minorEastAsia"/>
                <w:lang w:eastAsia="ar-SA"/>
              </w:rPr>
              <w:t xml:space="preserve"> will </w:t>
            </w:r>
            <w:r>
              <w:rPr>
                <w:rFonts w:eastAsiaTheme="minorEastAsia"/>
                <w:lang w:eastAsia="ar-SA"/>
              </w:rPr>
              <w:t xml:space="preserve">work </w:t>
            </w:r>
            <w:r w:rsidRPr="005D05EA">
              <w:rPr>
                <w:rFonts w:eastAsiaTheme="minorEastAsia"/>
                <w:lang w:eastAsia="ar-SA"/>
              </w:rPr>
              <w:t>at some specified point in the near future</w:t>
            </w:r>
            <w:r>
              <w:rPr>
                <w:rFonts w:eastAsiaTheme="minorEastAsia"/>
                <w:lang w:eastAsia="ar-SA"/>
              </w:rPr>
              <w:t>,</w:t>
            </w:r>
            <w:r w:rsidRPr="005D05EA">
              <w:rPr>
                <w:rFonts w:eastAsiaTheme="minorEastAsia"/>
                <w:lang w:eastAsia="ar-SA"/>
              </w:rPr>
              <w:t xml:space="preserve"> as coordinators supporting Home Visitors across different programmes.  </w:t>
            </w:r>
          </w:p>
          <w:p w14:paraId="7146A012" w14:textId="60CFDA21" w:rsidR="005D05EA" w:rsidRPr="00621378" w:rsidRDefault="005D05EA" w:rsidP="005D05EA">
            <w:pPr>
              <w:suppressAutoHyphens/>
              <w:spacing w:line="240" w:lineRule="auto"/>
              <w:jc w:val="both"/>
              <w:rPr>
                <w:rFonts w:eastAsiaTheme="minorEastAsia"/>
                <w:lang w:eastAsia="ar-SA"/>
              </w:rPr>
            </w:pPr>
            <w:r>
              <w:rPr>
                <w:rFonts w:eastAsiaTheme="minorEastAsia"/>
                <w:lang w:eastAsia="ar-SA"/>
              </w:rPr>
              <w:t>It is intended</w:t>
            </w:r>
            <w:r w:rsidRPr="005D05EA">
              <w:rPr>
                <w:rFonts w:eastAsiaTheme="minorEastAsia"/>
                <w:lang w:eastAsia="ar-SA"/>
              </w:rPr>
              <w:t xml:space="preserve"> that all potential and practising coordinators </w:t>
            </w:r>
            <w:r w:rsidR="0004649D">
              <w:rPr>
                <w:rFonts w:eastAsiaTheme="minorEastAsia"/>
                <w:lang w:eastAsia="ar-SA"/>
              </w:rPr>
              <w:t>will</w:t>
            </w:r>
            <w:r w:rsidRPr="005D05EA">
              <w:rPr>
                <w:rFonts w:eastAsiaTheme="minorEastAsia"/>
                <w:lang w:eastAsia="ar-SA"/>
              </w:rPr>
              <w:t xml:space="preserve"> avail of the </w:t>
            </w:r>
            <w:r w:rsidRPr="00E42D3D">
              <w:rPr>
                <w:rFonts w:eastAsiaTheme="minorEastAsia"/>
                <w:i/>
                <w:lang w:eastAsia="ar-SA"/>
              </w:rPr>
              <w:t>Certificate in Leadership, Governance, and Change Management in Early Learning Home Visiting</w:t>
            </w:r>
            <w:r w:rsidRPr="005D05EA">
              <w:rPr>
                <w:rFonts w:eastAsiaTheme="minorEastAsia"/>
                <w:lang w:eastAsia="ar-SA"/>
              </w:rPr>
              <w:t xml:space="preserve">, including coordinators supporting home visitors employed to deliver Community Mothers, Life Start, Early Childhood Home Visiting and Preparing for Life. Family support workers employed by </w:t>
            </w:r>
            <w:proofErr w:type="spellStart"/>
            <w:r w:rsidRPr="005D05EA">
              <w:rPr>
                <w:rFonts w:eastAsiaTheme="minorEastAsia"/>
                <w:lang w:eastAsia="ar-SA"/>
              </w:rPr>
              <w:t>Tusla</w:t>
            </w:r>
            <w:proofErr w:type="spellEnd"/>
            <w:r w:rsidRPr="005D05EA">
              <w:rPr>
                <w:rFonts w:eastAsiaTheme="minorEastAsia"/>
                <w:lang w:eastAsia="ar-SA"/>
              </w:rPr>
              <w:t xml:space="preserve"> or working in Homeless services, direct provision services etc. will also be encouraged to complete the programme.  As the programme will be delivered entirely online, it will provide maximum flexible learning opportunities for coordinators in a safe manner in light of the ongoing </w:t>
            </w:r>
            <w:r w:rsidR="00D661CA">
              <w:rPr>
                <w:rFonts w:eastAsiaTheme="minorEastAsia"/>
                <w:lang w:eastAsia="ar-SA"/>
              </w:rPr>
              <w:t xml:space="preserve">potential risks associated with the </w:t>
            </w:r>
            <w:r w:rsidRPr="005D05EA">
              <w:rPr>
                <w:rFonts w:eastAsiaTheme="minorEastAsia"/>
                <w:lang w:eastAsia="ar-SA"/>
              </w:rPr>
              <w:t>C</w:t>
            </w:r>
            <w:r w:rsidR="00621378">
              <w:rPr>
                <w:rFonts w:eastAsiaTheme="minorEastAsia"/>
                <w:lang w:eastAsia="ar-SA"/>
              </w:rPr>
              <w:t>OVID-</w:t>
            </w:r>
            <w:r w:rsidRPr="005D05EA">
              <w:rPr>
                <w:rFonts w:eastAsiaTheme="minorEastAsia"/>
                <w:lang w:eastAsia="ar-SA"/>
              </w:rPr>
              <w:t>19 pandemic.</w:t>
            </w:r>
          </w:p>
        </w:tc>
      </w:tr>
      <w:tr w:rsidR="00201EDF"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201EDF" w:rsidRPr="0077229C" w:rsidRDefault="00201EDF" w:rsidP="00201EDF">
            <w:pPr>
              <w:spacing w:line="240" w:lineRule="auto"/>
              <w:rPr>
                <w:rFonts w:eastAsia="Times New Roman" w:cstheme="minorHAnsi"/>
                <w:b/>
              </w:rPr>
            </w:pPr>
            <w:r>
              <w:rPr>
                <w:rFonts w:eastAsia="Times New Roman" w:cstheme="minorHAnsi"/>
                <w:b/>
              </w:rPr>
              <w:lastRenderedPageBreak/>
              <w:t>Rationale for Programme</w:t>
            </w:r>
          </w:p>
        </w:tc>
      </w:tr>
      <w:tr w:rsidR="00201EDF" w:rsidRPr="00C96327"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24A3F67F" w14:textId="4970A487" w:rsidR="005D05EA" w:rsidRDefault="005D05EA" w:rsidP="00621378">
            <w:pPr>
              <w:autoSpaceDE w:val="0"/>
              <w:autoSpaceDN w:val="0"/>
              <w:adjustRightInd w:val="0"/>
              <w:spacing w:line="240" w:lineRule="auto"/>
              <w:jc w:val="both"/>
            </w:pPr>
            <w:r>
              <w:t xml:space="preserve">In 2021, NCI’s ELI Team secured funding from the Rethink Ireland Innovate Fund for the development and delivery of this programme to provide coordinators of NCI’s ELI Home Visitor scheme with the knowledge, </w:t>
            </w:r>
            <w:proofErr w:type="gramStart"/>
            <w:r>
              <w:t>skills</w:t>
            </w:r>
            <w:proofErr w:type="gramEnd"/>
            <w:r>
              <w:t xml:space="preserve"> and competencies to effectively support them in their role providing support and guidance to Home Visitors. This programme will also provide </w:t>
            </w:r>
            <w:r w:rsidR="00621378">
              <w:t>learners</w:t>
            </w:r>
            <w:r>
              <w:t xml:space="preserve"> with an accredited award upon completion.</w:t>
            </w:r>
          </w:p>
          <w:p w14:paraId="0814DEB5" w14:textId="77777777" w:rsidR="005D05EA" w:rsidRDefault="005D05EA" w:rsidP="00621378">
            <w:pPr>
              <w:autoSpaceDE w:val="0"/>
              <w:autoSpaceDN w:val="0"/>
              <w:adjustRightInd w:val="0"/>
              <w:spacing w:line="240" w:lineRule="auto"/>
              <w:jc w:val="both"/>
            </w:pPr>
            <w:r>
              <w:t xml:space="preserve">The project, ‘From Couch to Screen - Engaging Children and Supporting Families Through High-quality Responsive Hybrid Home Visiting’, aims to support the pivoting of ELI Home Visiting, which was delivered face-to-face in the home pre-COVID-19, to a blend of face-to-face engagement, virtual visits and online learning in current and post-COVID environments. </w:t>
            </w:r>
          </w:p>
          <w:p w14:paraId="6FD54D25" w14:textId="45096DAE" w:rsidR="00D924D0" w:rsidRPr="00C96327" w:rsidRDefault="005D05EA" w:rsidP="00621378">
            <w:pPr>
              <w:autoSpaceDE w:val="0"/>
              <w:autoSpaceDN w:val="0"/>
              <w:adjustRightInd w:val="0"/>
              <w:spacing w:line="240" w:lineRule="auto"/>
              <w:jc w:val="both"/>
            </w:pPr>
            <w:r>
              <w:t xml:space="preserve">As well as redesigning the module from the Bachelor of Arts (Honours) in Early Childhood Education and Care for fully online delivery, the module has been redesigned specifically to provide coordinators in the Home Visiting programme that learning opportunities that satisfy their professional and educational needs. The programme is designed to demonstrably support the realisation of </w:t>
            </w:r>
            <w:r w:rsidR="00D661CA">
              <w:t>t</w:t>
            </w:r>
            <w:r>
              <w:t>he Government’s</w:t>
            </w:r>
            <w:r w:rsidR="00D661CA" w:rsidRPr="00C634AE">
              <w:rPr>
                <w:i/>
              </w:rPr>
              <w:t xml:space="preserve"> First Five: A Whole-of-Government Strategy for Babies, Young </w:t>
            </w:r>
            <w:proofErr w:type="gramStart"/>
            <w:r w:rsidR="00D661CA" w:rsidRPr="00C634AE">
              <w:rPr>
                <w:i/>
              </w:rPr>
              <w:t>Children</w:t>
            </w:r>
            <w:proofErr w:type="gramEnd"/>
            <w:r w:rsidR="00D661CA" w:rsidRPr="00C634AE">
              <w:rPr>
                <w:i/>
              </w:rPr>
              <w:t xml:space="preserve"> and their Families 2019-2028</w:t>
            </w:r>
            <w:r>
              <w:t xml:space="preserve"> vision that those providing services for babies, young children and their families will be equipped to contribute to their learning, development, health and wellbeing. Variable quality of initial education and </w:t>
            </w:r>
            <w:r w:rsidR="00ED7CC3">
              <w:t xml:space="preserve">professional learning </w:t>
            </w:r>
            <w:r>
              <w:t>programmes represent a challenge for the ELC workforce, in particular Home Visitors.</w:t>
            </w:r>
          </w:p>
        </w:tc>
      </w:tr>
      <w:tr w:rsidR="00201EDF" w:rsidRPr="003546AE" w14:paraId="19F5DFF8" w14:textId="77777777" w:rsidTr="00E07D5A">
        <w:tc>
          <w:tcPr>
            <w:tcW w:w="9185" w:type="dxa"/>
            <w:shd w:val="clear" w:color="auto" w:fill="D9E2F3" w:themeFill="accent1" w:themeFillTint="33"/>
          </w:tcPr>
          <w:p w14:paraId="79039847" w14:textId="77777777" w:rsidR="00201EDF" w:rsidRPr="003546AE" w:rsidRDefault="00201EDF" w:rsidP="00201EDF">
            <w:pPr>
              <w:spacing w:line="240" w:lineRule="auto"/>
              <w:rPr>
                <w:rFonts w:eastAsia="Times New Roman" w:cstheme="minorHAnsi"/>
              </w:rPr>
            </w:pPr>
            <w:r>
              <w:rPr>
                <w:rFonts w:eastAsia="Times New Roman" w:cstheme="minorHAnsi"/>
                <w:b/>
              </w:rPr>
              <w:t xml:space="preserve">Evidence of learner demand </w:t>
            </w:r>
          </w:p>
        </w:tc>
      </w:tr>
      <w:tr w:rsidR="00201EDF" w:rsidRPr="003546AE" w14:paraId="39814475" w14:textId="77777777" w:rsidTr="009F648F">
        <w:tc>
          <w:tcPr>
            <w:tcW w:w="9185" w:type="dxa"/>
            <w:shd w:val="clear" w:color="auto" w:fill="auto"/>
          </w:tcPr>
          <w:p w14:paraId="0A5F22F2" w14:textId="15C1745F" w:rsidR="00D924D0" w:rsidRPr="005D05EA" w:rsidRDefault="00D028F8" w:rsidP="00621378">
            <w:pPr>
              <w:spacing w:line="240" w:lineRule="auto"/>
              <w:jc w:val="both"/>
            </w:pPr>
            <w:r w:rsidRPr="005D05EA">
              <w:t>In 2019-20, 1,200 families received home visiting through Community Mothers (10 sites)</w:t>
            </w:r>
            <w:r w:rsidR="00C825A1">
              <w:t xml:space="preserve"> </w:t>
            </w:r>
            <w:r w:rsidRPr="005D05EA">
              <w:t xml:space="preserve">/ </w:t>
            </w:r>
            <w:proofErr w:type="spellStart"/>
            <w:r w:rsidRPr="005D05EA">
              <w:t>ParentChild</w:t>
            </w:r>
            <w:proofErr w:type="spellEnd"/>
            <w:r w:rsidRPr="005D05EA">
              <w:t xml:space="preserve">+ (9 sites). With the Rethink Innovate </w:t>
            </w:r>
            <w:r w:rsidR="00621378">
              <w:t>G</w:t>
            </w:r>
            <w:r w:rsidRPr="005D05EA">
              <w:t>rant, our aim is to upskill 23 Coordinators and 150 Home Visitors to reach at least 1,500 children, 2,250 parents and their extended families, through:</w:t>
            </w:r>
          </w:p>
          <w:p w14:paraId="4ED938CB" w14:textId="77777777" w:rsidR="00D028F8" w:rsidRPr="005D05EA" w:rsidRDefault="00D028F8" w:rsidP="00621378">
            <w:pPr>
              <w:pStyle w:val="ListParagraph"/>
              <w:numPr>
                <w:ilvl w:val="0"/>
                <w:numId w:val="26"/>
              </w:numPr>
              <w:spacing w:line="240" w:lineRule="auto"/>
              <w:contextualSpacing w:val="0"/>
              <w:jc w:val="both"/>
              <w:rPr>
                <w:rFonts w:eastAsia="Times New Roman" w:cstheme="minorHAnsi"/>
                <w:noProof/>
              </w:rPr>
            </w:pPr>
            <w:r w:rsidRPr="005D05EA">
              <w:rPr>
                <w:rFonts w:eastAsia="Times New Roman" w:cstheme="minorHAnsi"/>
                <w:noProof/>
              </w:rPr>
              <w:t>Community Mothers Programme: 13 Coordinators; 89 Home Visitors; 1,120 children in 10 sites in Dublin, Limerick, Roscommon, Trim, Kerry, Westmeath, Meath, Tipperary, Laois, Offaly, Longford.</w:t>
            </w:r>
          </w:p>
          <w:p w14:paraId="7E64AC58" w14:textId="6687C7E2" w:rsidR="00D028F8" w:rsidRPr="005D05EA" w:rsidRDefault="00D028F8" w:rsidP="00621378">
            <w:pPr>
              <w:pStyle w:val="ListParagraph"/>
              <w:numPr>
                <w:ilvl w:val="0"/>
                <w:numId w:val="26"/>
              </w:numPr>
              <w:spacing w:line="240" w:lineRule="auto"/>
              <w:contextualSpacing w:val="0"/>
              <w:jc w:val="both"/>
              <w:rPr>
                <w:rFonts w:eastAsia="Times New Roman" w:cstheme="minorHAnsi"/>
                <w:noProof/>
              </w:rPr>
            </w:pPr>
            <w:r w:rsidRPr="005D05EA">
              <w:rPr>
                <w:rFonts w:eastAsia="Times New Roman" w:cstheme="minorHAnsi"/>
                <w:noProof/>
              </w:rPr>
              <w:t>ParentChild+</w:t>
            </w:r>
            <w:r w:rsidR="00C825A1">
              <w:rPr>
                <w:rFonts w:eastAsia="Times New Roman" w:cstheme="minorHAnsi"/>
                <w:noProof/>
              </w:rPr>
              <w:t xml:space="preserve"> </w:t>
            </w:r>
            <w:r w:rsidRPr="005D05EA">
              <w:rPr>
                <w:rFonts w:eastAsia="Times New Roman" w:cstheme="minorHAnsi"/>
                <w:noProof/>
              </w:rPr>
              <w:t>/</w:t>
            </w:r>
            <w:r w:rsidR="00C825A1">
              <w:rPr>
                <w:rFonts w:eastAsia="Times New Roman" w:cstheme="minorHAnsi"/>
                <w:noProof/>
              </w:rPr>
              <w:t xml:space="preserve"> </w:t>
            </w:r>
            <w:r w:rsidRPr="005D05EA">
              <w:rPr>
                <w:rFonts w:eastAsia="Times New Roman" w:cstheme="minorHAnsi"/>
                <w:noProof/>
              </w:rPr>
              <w:t>Home from Home Programme: 10 Coordinators; 61 Home Visitors; 380 children in 9 sites in Dublin, Limerick, Galway, and Louth. (Depending on funding, plans are underway to expand the numbers involved from approximately 20% generally to 50% in Louth. A high-quality responsive hybrid delivery model is critical for expansion).</w:t>
            </w:r>
          </w:p>
          <w:p w14:paraId="77349BAF" w14:textId="1B826B0A" w:rsidR="00D028F8" w:rsidRPr="005D05EA" w:rsidRDefault="00D028F8" w:rsidP="00621378">
            <w:pPr>
              <w:spacing w:line="240" w:lineRule="auto"/>
              <w:jc w:val="both"/>
              <w:rPr>
                <w:rFonts w:eastAsia="Times New Roman" w:cstheme="minorHAnsi"/>
                <w:noProof/>
              </w:rPr>
            </w:pPr>
            <w:r w:rsidRPr="005D05EA">
              <w:rPr>
                <w:rFonts w:eastAsia="Times New Roman" w:cstheme="minorHAnsi"/>
                <w:noProof/>
              </w:rPr>
              <w:t xml:space="preserve">NCI’s Early Learning Initiative (ELI) Strategic Plan 2020-25 outlines the objective to exponentially increase the number of sites and skilled Home Visitors who have completed the Certificate in Curriculum and Pedagogical Practice for </w:t>
            </w:r>
            <w:r w:rsidR="00ED7CC3">
              <w:rPr>
                <w:rFonts w:eastAsia="Times New Roman" w:cstheme="minorHAnsi"/>
                <w:noProof/>
              </w:rPr>
              <w:t xml:space="preserve">Early Childhood </w:t>
            </w:r>
            <w:r w:rsidRPr="005D05EA">
              <w:rPr>
                <w:rFonts w:eastAsia="Times New Roman" w:cstheme="minorHAnsi"/>
                <w:noProof/>
              </w:rPr>
              <w:t>Home Visiting Programme and this is key to doubling the families receiving a responsive high-quality hybrid home-visiting model over the next five years.</w:t>
            </w:r>
          </w:p>
          <w:p w14:paraId="593ABDFF" w14:textId="03FD891B" w:rsidR="005A0A65" w:rsidRDefault="005D05EA" w:rsidP="00621378">
            <w:pPr>
              <w:spacing w:line="240" w:lineRule="auto"/>
              <w:jc w:val="both"/>
              <w:rPr>
                <w:rFonts w:eastAsia="Times New Roman" w:cstheme="minorHAnsi"/>
                <w:noProof/>
              </w:rPr>
            </w:pPr>
            <w:r w:rsidRPr="005D05EA">
              <w:rPr>
                <w:rFonts w:eastAsia="Times New Roman" w:cstheme="minorHAnsi"/>
                <w:noProof/>
              </w:rPr>
              <w:t xml:space="preserve">We would hope that all potential and practising coordinators could avail of the </w:t>
            </w:r>
            <w:r w:rsidRPr="00E42D3D">
              <w:rPr>
                <w:rFonts w:eastAsia="Times New Roman" w:cstheme="minorHAnsi"/>
                <w:i/>
                <w:noProof/>
              </w:rPr>
              <w:t>Certificate in Leadership, Governance, and Change Management in Early Learning Home Visiting</w:t>
            </w:r>
            <w:r w:rsidRPr="005D05EA">
              <w:rPr>
                <w:rFonts w:eastAsia="Times New Roman" w:cstheme="minorHAnsi"/>
                <w:noProof/>
              </w:rPr>
              <w:t>, including coordinators supporting home visitors employed to deliver Community Mothers, Life Start, Early Childhood Home Visiting  and Preparing for Life. Family support workers employed by Tusla or working in Homeless services, direct provision services etc. could also avail of it.</w:t>
            </w:r>
          </w:p>
          <w:p w14:paraId="6F4F5B9F" w14:textId="77777777" w:rsidR="005A0A65" w:rsidRDefault="005A0A65" w:rsidP="00621378">
            <w:pPr>
              <w:spacing w:line="240" w:lineRule="auto"/>
              <w:jc w:val="both"/>
              <w:rPr>
                <w:rFonts w:eastAsia="Times New Roman" w:cstheme="minorHAnsi"/>
                <w:noProof/>
              </w:rPr>
            </w:pPr>
          </w:p>
          <w:p w14:paraId="4F0E934D" w14:textId="77777777" w:rsidR="005A0A65" w:rsidRDefault="005A0A65" w:rsidP="00621378">
            <w:pPr>
              <w:spacing w:line="240" w:lineRule="auto"/>
              <w:jc w:val="both"/>
              <w:rPr>
                <w:rFonts w:eastAsia="Times New Roman" w:cstheme="minorHAnsi"/>
                <w:noProof/>
              </w:rPr>
            </w:pPr>
          </w:p>
          <w:p w14:paraId="56955240" w14:textId="527AE0CA" w:rsidR="005A0A65" w:rsidRPr="003546AE" w:rsidRDefault="005A0A65" w:rsidP="00621378">
            <w:pPr>
              <w:spacing w:line="240" w:lineRule="auto"/>
              <w:jc w:val="both"/>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763EC3">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vAlign w:val="center"/>
          </w:tcPr>
          <w:p w14:paraId="794D1962"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vAlign w:val="center"/>
          </w:tcPr>
          <w:p w14:paraId="5C6C1009"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50CCAA46" w14:textId="77777777" w:rsidTr="009F648F">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30B98AEF" w:rsidR="009F648F" w:rsidRPr="00C84708" w:rsidRDefault="009B03D5" w:rsidP="009F648F">
            <w:pPr>
              <w:jc w:val="center"/>
              <w:rPr>
                <w:rFonts w:asciiTheme="minorHAnsi" w:hAnsiTheme="minorHAnsi" w:cstheme="minorHAnsi"/>
                <w:sz w:val="22"/>
                <w:szCs w:val="22"/>
              </w:rPr>
            </w:pPr>
            <w:r>
              <w:rPr>
                <w:rFonts w:asciiTheme="minorHAnsi" w:hAnsiTheme="minorHAnsi" w:cstheme="minorHAnsi"/>
                <w:sz w:val="22"/>
                <w:szCs w:val="22"/>
              </w:rPr>
              <w:t>1</w:t>
            </w:r>
            <w:r w:rsidRPr="009B03D5">
              <w:rPr>
                <w:rFonts w:asciiTheme="minorHAnsi" w:hAnsiTheme="minorHAnsi" w:cstheme="minorHAnsi"/>
                <w:sz w:val="22"/>
                <w:szCs w:val="22"/>
                <w:vertAlign w:val="superscript"/>
              </w:rPr>
              <w:t>st</w:t>
            </w:r>
            <w:r>
              <w:rPr>
                <w:rFonts w:asciiTheme="minorHAnsi" w:hAnsiTheme="minorHAnsi" w:cstheme="minorHAnsi"/>
                <w:sz w:val="22"/>
                <w:szCs w:val="22"/>
              </w:rPr>
              <w:t xml:space="preserve"> July 2021</w:t>
            </w:r>
          </w:p>
        </w:tc>
        <w:tc>
          <w:tcPr>
            <w:tcW w:w="1657" w:type="dxa"/>
          </w:tcPr>
          <w:p w14:paraId="5157E55B" w14:textId="64D3DB49"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12 Weeks</w:t>
            </w:r>
          </w:p>
        </w:tc>
        <w:tc>
          <w:tcPr>
            <w:tcW w:w="1836" w:type="dxa"/>
          </w:tcPr>
          <w:p w14:paraId="3406C307" w14:textId="04E26AAA" w:rsidR="009F648F" w:rsidRPr="0048373B" w:rsidRDefault="00F42FF9" w:rsidP="009F648F">
            <w:pPr>
              <w:jc w:val="center"/>
              <w:rPr>
                <w:rFonts w:asciiTheme="minorHAnsi" w:hAnsiTheme="minorHAnsi" w:cstheme="minorHAnsi"/>
                <w:sz w:val="22"/>
                <w:szCs w:val="22"/>
              </w:rPr>
            </w:pPr>
            <w:r>
              <w:rPr>
                <w:rFonts w:asciiTheme="minorHAnsi" w:hAnsiTheme="minorHAnsi" w:cstheme="minorHAnsi"/>
                <w:sz w:val="22"/>
                <w:szCs w:val="22"/>
              </w:rPr>
              <w:t>2</w:t>
            </w:r>
          </w:p>
        </w:tc>
        <w:tc>
          <w:tcPr>
            <w:tcW w:w="1371" w:type="dxa"/>
          </w:tcPr>
          <w:p w14:paraId="0274BDC3" w14:textId="4E35DE50" w:rsidR="009F648F" w:rsidRPr="0048373B" w:rsidRDefault="00763EC3"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tcPr>
          <w:p w14:paraId="53A089A0" w14:textId="73FE4B42" w:rsidR="009F648F" w:rsidRPr="0048373B" w:rsidRDefault="00605139" w:rsidP="009F648F">
            <w:pPr>
              <w:jc w:val="center"/>
              <w:rPr>
                <w:rFonts w:asciiTheme="minorHAnsi" w:hAnsiTheme="minorHAnsi" w:cstheme="minorHAnsi"/>
                <w:sz w:val="22"/>
                <w:szCs w:val="22"/>
              </w:rPr>
            </w:pPr>
            <w:r>
              <w:rPr>
                <w:rFonts w:asciiTheme="minorHAnsi" w:hAnsiTheme="minorHAnsi" w:cstheme="minorHAnsi"/>
                <w:sz w:val="22"/>
                <w:szCs w:val="22"/>
              </w:rPr>
              <w:t>15</w:t>
            </w:r>
          </w:p>
        </w:tc>
      </w:tr>
    </w:tbl>
    <w:p w14:paraId="3863F6F1" w14:textId="77777777" w:rsidR="00621378" w:rsidRDefault="00621378"/>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53486C32" w14:textId="6CC44FFF"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should be borne in mind</w:t>
            </w:r>
            <w:r w:rsidR="00E07D5A">
              <w:rPr>
                <w:rFonts w:eastAsia="Times New Roman" w:cstheme="minorHAnsi"/>
                <w:i/>
                <w:iCs/>
                <w:noProof/>
                <w:sz w:val="18"/>
                <w:szCs w:val="18"/>
              </w:rPr>
              <w:t xml:space="preserve">, while also recognising that the programme of which this microcredential is a module, has </w:t>
            </w:r>
            <w:r w:rsidR="00B409F9">
              <w:rPr>
                <w:rFonts w:eastAsia="Times New Roman" w:cstheme="minorHAnsi"/>
                <w:i/>
                <w:iCs/>
                <w:noProof/>
                <w:sz w:val="18"/>
                <w:szCs w:val="18"/>
              </w:rPr>
              <w:t xml:space="preserve">already </w:t>
            </w:r>
            <w:r w:rsidR="00E07D5A">
              <w:rPr>
                <w:rFonts w:eastAsia="Times New Roman" w:cstheme="minorHAnsi"/>
                <w:i/>
                <w:iCs/>
                <w:noProof/>
                <w:sz w:val="18"/>
                <w:szCs w:val="18"/>
              </w:rPr>
              <w:t>been deemed to have met these criteria</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83174F">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2014E6D8" w:rsidR="009F648F" w:rsidRPr="00582032" w:rsidRDefault="00582032" w:rsidP="009F648F">
            <w:pPr>
              <w:rPr>
                <w:rFonts w:eastAsia="Times New Roman" w:cstheme="minorHAnsi"/>
                <w:b/>
                <w:bCs/>
                <w:noProof/>
              </w:rPr>
            </w:pPr>
            <w:r w:rsidRPr="00582032">
              <w:rPr>
                <w:rFonts w:eastAsia="Times New Roman" w:cstheme="minorHAnsi"/>
                <w:b/>
                <w:bCs/>
                <w:noProof/>
              </w:rPr>
              <w:t>Rationale, Learner Demand, Viability:</w:t>
            </w:r>
          </w:p>
          <w:p w14:paraId="08BF12DC" w14:textId="0B629F6B" w:rsidR="00621378" w:rsidRDefault="00621378" w:rsidP="00621378">
            <w:pPr>
              <w:jc w:val="both"/>
              <w:rPr>
                <w:rFonts w:eastAsia="Times New Roman" w:cstheme="minorHAnsi"/>
                <w:noProof/>
              </w:rPr>
            </w:pPr>
            <w:r w:rsidRPr="00621378">
              <w:rPr>
                <w:rFonts w:eastAsia="Times New Roman" w:cstheme="minorHAnsi"/>
                <w:noProof/>
              </w:rPr>
              <w:t xml:space="preserve">The panel agree that a strong </w:t>
            </w:r>
            <w:bookmarkStart w:id="1" w:name="_Hlk70959810"/>
            <w:r w:rsidR="00ED7CC3">
              <w:rPr>
                <w:rFonts w:eastAsia="Times New Roman" w:cstheme="minorHAnsi"/>
                <w:noProof/>
              </w:rPr>
              <w:t xml:space="preserve">and convincing </w:t>
            </w:r>
            <w:r w:rsidRPr="00621378">
              <w:rPr>
                <w:rFonts w:eastAsia="Times New Roman" w:cstheme="minorHAnsi"/>
                <w:noProof/>
              </w:rPr>
              <w:t>argument</w:t>
            </w:r>
            <w:r w:rsidR="00E42D3D">
              <w:rPr>
                <w:rFonts w:eastAsia="Times New Roman" w:cstheme="minorHAnsi"/>
                <w:noProof/>
              </w:rPr>
              <w:t xml:space="preserve">, </w:t>
            </w:r>
            <w:r w:rsidR="00ED7CC3">
              <w:rPr>
                <w:rFonts w:eastAsia="Times New Roman" w:cstheme="minorHAnsi"/>
                <w:noProof/>
              </w:rPr>
              <w:t xml:space="preserve">from both a national and international evidence-based perspective, </w:t>
            </w:r>
            <w:bookmarkEnd w:id="1"/>
            <w:r w:rsidRPr="00621378">
              <w:rPr>
                <w:rFonts w:eastAsia="Times New Roman" w:cstheme="minorHAnsi"/>
                <w:noProof/>
              </w:rPr>
              <w:t>was provided</w:t>
            </w:r>
            <w:r w:rsidR="00E42D3D">
              <w:rPr>
                <w:rFonts w:eastAsia="Times New Roman" w:cstheme="minorHAnsi"/>
                <w:noProof/>
              </w:rPr>
              <w:t xml:space="preserve">, </w:t>
            </w:r>
            <w:r w:rsidR="00ED7CC3">
              <w:rPr>
                <w:rFonts w:eastAsia="Times New Roman" w:cstheme="minorHAnsi"/>
                <w:noProof/>
              </w:rPr>
              <w:t xml:space="preserve"> </w:t>
            </w:r>
            <w:r w:rsidRPr="00621378">
              <w:rPr>
                <w:rFonts w:eastAsia="Times New Roman" w:cstheme="minorHAnsi"/>
                <w:noProof/>
              </w:rPr>
              <w:t xml:space="preserve">to support the rationale, learner demand and programme viability of the Level  Award titled </w:t>
            </w:r>
            <w:r w:rsidRPr="00E42D3D">
              <w:rPr>
                <w:rFonts w:eastAsia="Times New Roman" w:cstheme="minorHAnsi"/>
                <w:i/>
                <w:noProof/>
              </w:rPr>
              <w:t>Certificate in Leadership, Governance and Change Management</w:t>
            </w:r>
            <w:r w:rsidR="0044537F">
              <w:rPr>
                <w:rFonts w:eastAsia="Times New Roman" w:cstheme="minorHAnsi"/>
                <w:i/>
                <w:noProof/>
              </w:rPr>
              <w:t xml:space="preserve"> in Early Childhood Home Visiting</w:t>
            </w:r>
            <w:r>
              <w:rPr>
                <w:rFonts w:eastAsia="Times New Roman" w:cstheme="minorHAnsi"/>
                <w:noProof/>
              </w:rPr>
              <w:t xml:space="preserve">. </w:t>
            </w:r>
            <w:r w:rsidRPr="00621378">
              <w:rPr>
                <w:rFonts w:eastAsia="Times New Roman" w:cstheme="minorHAnsi"/>
                <w:noProof/>
              </w:rPr>
              <w:t xml:space="preserve">In particular, the panel note that the rationale for developing an online micro-credential programme is timely given the ongoing </w:t>
            </w:r>
            <w:r w:rsidR="00ED7CC3">
              <w:rPr>
                <w:rFonts w:eastAsia="Times New Roman" w:cstheme="minorHAnsi"/>
                <w:noProof/>
              </w:rPr>
              <w:t xml:space="preserve">potential </w:t>
            </w:r>
            <w:r w:rsidRPr="00621378">
              <w:rPr>
                <w:rFonts w:eastAsia="Times New Roman" w:cstheme="minorHAnsi"/>
                <w:noProof/>
              </w:rPr>
              <w:t>risks associated with COVID-19 and that the programme has received funding for development and delivery from the Rethink Ireland Innovate Fund</w:t>
            </w:r>
            <w:r>
              <w:rPr>
                <w:rFonts w:eastAsia="Times New Roman" w:cstheme="minorHAnsi"/>
                <w:noProof/>
              </w:rPr>
              <w:t>.</w:t>
            </w:r>
          </w:p>
          <w:p w14:paraId="5CC0A3B8" w14:textId="075410E9" w:rsidR="00582032" w:rsidRPr="004107AA" w:rsidRDefault="00582032" w:rsidP="004107AA">
            <w:pPr>
              <w:rPr>
                <w:rFonts w:eastAsia="Times New Roman" w:cstheme="minorHAnsi"/>
                <w:i/>
                <w:iCs/>
                <w:noProof/>
                <w:sz w:val="18"/>
                <w:szCs w:val="18"/>
              </w:rPr>
            </w:pPr>
            <w:r w:rsidRPr="00582032">
              <w:rPr>
                <w:rFonts w:eastAsia="Times New Roman" w:cstheme="minorHAnsi"/>
                <w:b/>
                <w:bCs/>
                <w:noProof/>
              </w:rPr>
              <w:t>Proposed Award - consistency with NFQ:</w:t>
            </w:r>
            <w:r w:rsidR="004107AA">
              <w:rPr>
                <w:rFonts w:eastAsia="Times New Roman" w:cstheme="minorHAnsi"/>
                <w:b/>
                <w:bCs/>
                <w:noProof/>
              </w:rPr>
              <w:t xml:space="preserve"> </w:t>
            </w:r>
          </w:p>
          <w:p w14:paraId="30B2AC0A" w14:textId="3FDAC2CA" w:rsidR="00920F81" w:rsidRDefault="00621378" w:rsidP="00621378">
            <w:pPr>
              <w:jc w:val="both"/>
              <w:rPr>
                <w:rFonts w:eastAsia="Times New Roman" w:cstheme="minorHAnsi"/>
                <w:noProof/>
              </w:rPr>
            </w:pPr>
            <w:r w:rsidRPr="00621378">
              <w:rPr>
                <w:rFonts w:eastAsia="Times New Roman" w:cstheme="minorHAnsi"/>
                <w:noProof/>
              </w:rPr>
              <w:t>The panel is of the view the language used in several of the proposed</w:t>
            </w:r>
            <w:r w:rsidR="00ED7CC3">
              <w:rPr>
                <w:rFonts w:eastAsia="Times New Roman" w:cstheme="minorHAnsi"/>
                <w:noProof/>
              </w:rPr>
              <w:t xml:space="preserve"> minimum intended programme learning outcomes</w:t>
            </w:r>
            <w:r w:rsidRPr="00621378">
              <w:rPr>
                <w:rFonts w:eastAsia="Times New Roman" w:cstheme="minorHAnsi"/>
                <w:noProof/>
              </w:rPr>
              <w:t xml:space="preserve"> </w:t>
            </w:r>
            <w:r w:rsidR="00E42D3D">
              <w:rPr>
                <w:rFonts w:eastAsia="Times New Roman" w:cstheme="minorHAnsi"/>
                <w:noProof/>
              </w:rPr>
              <w:t>(</w:t>
            </w:r>
            <w:r w:rsidRPr="00621378">
              <w:rPr>
                <w:rFonts w:eastAsia="Times New Roman" w:cstheme="minorHAnsi"/>
                <w:noProof/>
              </w:rPr>
              <w:t>MIPLOs</w:t>
            </w:r>
            <w:r w:rsidR="00E42D3D">
              <w:rPr>
                <w:rFonts w:eastAsia="Times New Roman" w:cstheme="minorHAnsi"/>
                <w:noProof/>
              </w:rPr>
              <w:t>)</w:t>
            </w:r>
            <w:r w:rsidRPr="00621378">
              <w:rPr>
                <w:rFonts w:eastAsia="Times New Roman" w:cstheme="minorHAnsi"/>
                <w:noProof/>
              </w:rPr>
              <w:t xml:space="preserve"> for this micro-credential programme appear ambitious for the scope of this special purpose award. For example, it is unlikely that a Level </w:t>
            </w:r>
            <w:r w:rsidR="00EB559C">
              <w:rPr>
                <w:rFonts w:eastAsia="Times New Roman" w:cstheme="minorHAnsi"/>
                <w:noProof/>
              </w:rPr>
              <w:t>7</w:t>
            </w:r>
            <w:r w:rsidRPr="00621378">
              <w:rPr>
                <w:rFonts w:eastAsia="Times New Roman" w:cstheme="minorHAnsi"/>
                <w:noProof/>
              </w:rPr>
              <w:t xml:space="preserve"> Award made up of </w:t>
            </w:r>
            <w:r>
              <w:rPr>
                <w:rFonts w:eastAsia="Times New Roman" w:cstheme="minorHAnsi"/>
                <w:noProof/>
              </w:rPr>
              <w:t>1</w:t>
            </w:r>
            <w:r w:rsidRPr="00621378">
              <w:rPr>
                <w:rFonts w:eastAsia="Times New Roman" w:cstheme="minorHAnsi"/>
                <w:noProof/>
              </w:rPr>
              <w:t>0 ECTS will provide sufficient learning opportunities to ‘demonstrate</w:t>
            </w:r>
            <w:r>
              <w:rPr>
                <w:rFonts w:eastAsia="Times New Roman" w:cstheme="minorHAnsi"/>
                <w:noProof/>
              </w:rPr>
              <w:t xml:space="preserve"> critical understandings’, to ‘clearly articulate’ or to ‘critically analyse’. The MIPLOs should be reviewed and revised to ensure that they reflect the true programme learning outcomes</w:t>
            </w:r>
            <w:r w:rsidR="00ED7CC3">
              <w:rPr>
                <w:rFonts w:eastAsia="Times New Roman" w:cstheme="minorHAnsi"/>
                <w:noProof/>
              </w:rPr>
              <w:t xml:space="preserve"> and are both realistic and achievable in terms of the outcomes for a Level </w:t>
            </w:r>
            <w:r w:rsidR="00EB559C">
              <w:rPr>
                <w:rFonts w:eastAsia="Times New Roman" w:cstheme="minorHAnsi"/>
                <w:noProof/>
              </w:rPr>
              <w:t>7</w:t>
            </w:r>
            <w:r w:rsidR="00ED7CC3">
              <w:rPr>
                <w:rFonts w:eastAsia="Times New Roman" w:cstheme="minorHAnsi"/>
                <w:noProof/>
              </w:rPr>
              <w:t xml:space="preserve"> Award comprising 10 ECTS.</w:t>
            </w:r>
            <w:r>
              <w:rPr>
                <w:rFonts w:eastAsia="Times New Roman" w:cstheme="minorHAnsi"/>
                <w:noProof/>
              </w:rPr>
              <w:t xml:space="preserve"> </w:t>
            </w:r>
            <w:r w:rsidRPr="00621378">
              <w:rPr>
                <w:rFonts w:eastAsia="Times New Roman" w:cstheme="minorHAnsi"/>
                <w:noProof/>
              </w:rPr>
              <w:t xml:space="preserve"> </w:t>
            </w:r>
          </w:p>
          <w:p w14:paraId="32633A54" w14:textId="0320C417" w:rsidR="00DC664A" w:rsidRPr="00582032" w:rsidRDefault="00582032" w:rsidP="000F57CC">
            <w:pPr>
              <w:jc w:val="both"/>
              <w:rPr>
                <w:rFonts w:eastAsia="Times New Roman" w:cstheme="minorHAnsi"/>
                <w:b/>
                <w:bCs/>
                <w:noProof/>
              </w:rPr>
            </w:pPr>
            <w:r w:rsidRPr="00582032">
              <w:rPr>
                <w:rFonts w:eastAsia="Times New Roman" w:cstheme="minorHAnsi"/>
                <w:b/>
                <w:bCs/>
                <w:noProof/>
              </w:rPr>
              <w:t xml:space="preserve">Learner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Pr="00582032">
              <w:rPr>
                <w:rFonts w:eastAsia="Times New Roman" w:cstheme="minorHAnsi"/>
                <w:b/>
                <w:bCs/>
                <w:noProof/>
              </w:rPr>
              <w:t>)</w:t>
            </w:r>
            <w:r w:rsidR="00036062">
              <w:rPr>
                <w:rFonts w:eastAsia="Times New Roman" w:cstheme="minorHAnsi"/>
                <w:b/>
                <w:bCs/>
                <w:noProof/>
              </w:rPr>
              <w:t>:</w:t>
            </w:r>
          </w:p>
          <w:p w14:paraId="7AAEAE34" w14:textId="20178FAC" w:rsidR="003C3C3C" w:rsidRDefault="003C3C3C" w:rsidP="000F57CC">
            <w:pPr>
              <w:jc w:val="both"/>
              <w:rPr>
                <w:rFonts w:eastAsia="Times New Roman" w:cstheme="minorHAnsi"/>
                <w:noProof/>
              </w:rPr>
            </w:pPr>
            <w:r w:rsidRPr="003C3C3C">
              <w:rPr>
                <w:rFonts w:eastAsia="Times New Roman" w:cstheme="minorHAnsi"/>
                <w:noProof/>
              </w:rPr>
              <w:t xml:space="preserve">The programme validation document provided was comprehensive and the panel is satisfied that the programme will be well-managed and the learners enrolled on the programme will be well informed, guided and cared for. However, as this is a micro-credential programme and is supporting a shift to virtual service delivery, the validation documentation was not clear as to the point at which learners will be supported to develop e-learning skills and digital pedagogies, for both their own learning experience, but also in supporting their work as a Home Visitor. As such, based on the target-client / </w:t>
            </w:r>
            <w:r w:rsidRPr="003C3C3C">
              <w:rPr>
                <w:rFonts w:eastAsia="Times New Roman" w:cstheme="minorHAnsi"/>
                <w:noProof/>
              </w:rPr>
              <w:lastRenderedPageBreak/>
              <w:t>potential learner, support for developing e-learning skills should be included in the programme. Moreover, the entry requirements do not indicate technical skills / computer proficiency as a stated criteria.</w:t>
            </w:r>
            <w:r w:rsidR="00ED7CC3">
              <w:rPr>
                <w:rFonts w:eastAsia="Times New Roman" w:cstheme="minorHAnsi"/>
                <w:noProof/>
              </w:rPr>
              <w:t xml:space="preserve"> Including reference to an induction programme to support learners and ongoing support in this context would be helpful.</w:t>
            </w:r>
          </w:p>
          <w:p w14:paraId="505AA941" w14:textId="2E8195CB" w:rsidR="009F648F" w:rsidRPr="009F648F" w:rsidRDefault="003C3C3C" w:rsidP="000F57CC">
            <w:pPr>
              <w:jc w:val="both"/>
              <w:rPr>
                <w:rFonts w:eastAsia="Times New Roman" w:cstheme="minorHAnsi"/>
                <w:noProof/>
              </w:rPr>
            </w:pPr>
            <w:r>
              <w:rPr>
                <w:rFonts w:eastAsia="Times New Roman" w:cstheme="minorHAnsi"/>
                <w:noProof/>
              </w:rPr>
              <w:t>Moreover, there are some questions around entry requirements and application procedures. Given the nature of this programme, the entry requirements should indicate technical skills / computer proficiency as a stated criteria. Furthermore, the validation document (Section 2.4) should be reviewed and revised to provid</w:t>
            </w:r>
            <w:r w:rsidR="000F57CC">
              <w:rPr>
                <w:rFonts w:eastAsia="Times New Roman" w:cstheme="minorHAnsi"/>
                <w:noProof/>
              </w:rPr>
              <w:t>e</w:t>
            </w:r>
            <w:r>
              <w:rPr>
                <w:rFonts w:eastAsia="Times New Roman" w:cstheme="minorHAnsi"/>
                <w:noProof/>
              </w:rPr>
              <w:t xml:space="preserve"> correct sequencing regarding the application process. At the moment the validation document suggests that applicants are offered a place once NCI has received a nomination from an applicant’s line manager</w:t>
            </w:r>
            <w:r w:rsidR="000F57CC">
              <w:rPr>
                <w:rFonts w:eastAsia="Times New Roman" w:cstheme="minorHAnsi"/>
                <w:noProof/>
              </w:rPr>
              <w:t xml:space="preserve">, but before NCI actually receives a completed application. </w:t>
            </w:r>
            <w:r>
              <w:rPr>
                <w:rFonts w:eastAsia="Times New Roman" w:cstheme="minorHAnsi"/>
                <w:noProof/>
              </w:rPr>
              <w:t xml:space="preserve"> </w:t>
            </w:r>
          </w:p>
        </w:tc>
      </w:tr>
    </w:tbl>
    <w:p w14:paraId="7F9A2E6A" w14:textId="3C5C616A" w:rsidR="00DC664A" w:rsidRDefault="00DC664A">
      <w:pPr>
        <w:rPr>
          <w:rFonts w:asciiTheme="majorHAnsi" w:eastAsia="Times New Roman" w:hAnsiTheme="majorHAnsi" w:cstheme="majorBidi"/>
          <w:b/>
          <w:bCs/>
          <w:color w:val="2F5496" w:themeColor="accent1" w:themeShade="BF"/>
          <w:sz w:val="26"/>
          <w:szCs w:val="26"/>
        </w:rPr>
      </w:pPr>
    </w:p>
    <w:p w14:paraId="5CA47DD7" w14:textId="01283C33" w:rsidR="006C09BA" w:rsidRPr="000E6788" w:rsidRDefault="000E6788" w:rsidP="000E6788">
      <w:pPr>
        <w:pStyle w:val="SectionHeading"/>
        <w:rPr>
          <w:rFonts w:eastAsia="Times New Roman"/>
        </w:rPr>
      </w:pPr>
      <w:r w:rsidRPr="000E6788">
        <w:rPr>
          <w:rFonts w:eastAsia="Times New Roman"/>
        </w:rPr>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670"/>
        <w:gridCol w:w="879"/>
      </w:tblGrid>
      <w:tr w:rsidR="00C84708" w:rsidRPr="003546AE" w14:paraId="4753E48A" w14:textId="77777777" w:rsidTr="00C84708">
        <w:tc>
          <w:tcPr>
            <w:tcW w:w="9072" w:type="dxa"/>
            <w:gridSpan w:val="3"/>
            <w:shd w:val="clear" w:color="auto" w:fill="D9E2F3" w:themeFill="accent1" w:themeFillTint="33"/>
          </w:tcPr>
          <w:p w14:paraId="0C522B4D" w14:textId="52FC8E65" w:rsidR="00C84708" w:rsidRPr="003546AE" w:rsidRDefault="00BC1208" w:rsidP="00C84708">
            <w:pPr>
              <w:spacing w:after="0" w:line="240" w:lineRule="auto"/>
              <w:rPr>
                <w:rFonts w:eastAsia="Times New Roman" w:cstheme="minorHAnsi"/>
                <w:b/>
              </w:rPr>
            </w:pPr>
            <w:r w:rsidRPr="003546AE">
              <w:rPr>
                <w:rFonts w:eastAsia="Times New Roman" w:cstheme="minorHAnsi"/>
                <w:b/>
              </w:rPr>
              <w:t>Summary of specifications for teaching staff</w:t>
            </w:r>
          </w:p>
        </w:tc>
      </w:tr>
      <w:tr w:rsidR="00C84708" w:rsidRPr="00BC1479" w14:paraId="05E19BE1" w14:textId="77777777" w:rsidTr="00F900FF">
        <w:tc>
          <w:tcPr>
            <w:tcW w:w="2523"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670"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879"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B73997" w:rsidRPr="003546AE" w14:paraId="511C138E" w14:textId="77777777" w:rsidTr="00B73997">
        <w:tc>
          <w:tcPr>
            <w:tcW w:w="2523" w:type="dxa"/>
            <w:vAlign w:val="center"/>
          </w:tcPr>
          <w:p w14:paraId="15E34A32" w14:textId="168A80E5" w:rsidR="00B73997" w:rsidRPr="003546AE" w:rsidRDefault="00B73997" w:rsidP="00B73997">
            <w:pPr>
              <w:spacing w:line="240" w:lineRule="auto"/>
              <w:jc w:val="center"/>
              <w:rPr>
                <w:rFonts w:eastAsia="Times New Roman" w:cstheme="minorHAnsi"/>
              </w:rPr>
            </w:pPr>
            <w:r w:rsidRPr="00A965CA">
              <w:t>Lecturer</w:t>
            </w:r>
          </w:p>
        </w:tc>
        <w:tc>
          <w:tcPr>
            <w:tcW w:w="5670" w:type="dxa"/>
          </w:tcPr>
          <w:p w14:paraId="4BA22792" w14:textId="6BC9067E" w:rsidR="00B73997" w:rsidRPr="003546AE" w:rsidRDefault="00B73997" w:rsidP="00B73997">
            <w:pPr>
              <w:spacing w:line="240" w:lineRule="auto"/>
              <w:jc w:val="both"/>
              <w:rPr>
                <w:rFonts w:eastAsia="Times New Roman" w:cstheme="minorHAnsi"/>
              </w:rPr>
            </w:pPr>
            <w:r w:rsidRPr="00A965CA">
              <w:t>Lecturing staff should normally hold a minimum of a Master’s degree in a related discipline, with some experience/ exposure to Early Childhood Education and Care, or equivalent.</w:t>
            </w:r>
          </w:p>
        </w:tc>
        <w:tc>
          <w:tcPr>
            <w:tcW w:w="879" w:type="dxa"/>
            <w:vAlign w:val="center"/>
          </w:tcPr>
          <w:p w14:paraId="26D4E9DA" w14:textId="35653C16" w:rsidR="00B73997" w:rsidRPr="003546AE" w:rsidRDefault="00B73997" w:rsidP="00B73997">
            <w:pPr>
              <w:spacing w:line="240" w:lineRule="auto"/>
              <w:jc w:val="center"/>
              <w:rPr>
                <w:rFonts w:eastAsia="Times New Roman" w:cstheme="minorHAnsi"/>
              </w:rPr>
            </w:pPr>
            <w:r w:rsidRPr="00A965CA">
              <w:t>2</w:t>
            </w:r>
          </w:p>
        </w:tc>
      </w:tr>
      <w:tr w:rsidR="00B73997" w:rsidRPr="003546AE" w14:paraId="3159C237" w14:textId="77777777" w:rsidTr="00B73997">
        <w:tc>
          <w:tcPr>
            <w:tcW w:w="2523" w:type="dxa"/>
            <w:vAlign w:val="center"/>
          </w:tcPr>
          <w:p w14:paraId="065FDC5A" w14:textId="41030490" w:rsidR="00B73997" w:rsidRPr="003546AE" w:rsidRDefault="00B73997" w:rsidP="00B73997">
            <w:pPr>
              <w:spacing w:line="240" w:lineRule="auto"/>
              <w:jc w:val="center"/>
              <w:rPr>
                <w:rFonts w:eastAsia="Times New Roman" w:cstheme="minorHAnsi"/>
              </w:rPr>
            </w:pPr>
            <w:r w:rsidRPr="00A965CA">
              <w:t>Programme Director</w:t>
            </w:r>
          </w:p>
        </w:tc>
        <w:tc>
          <w:tcPr>
            <w:tcW w:w="5670" w:type="dxa"/>
          </w:tcPr>
          <w:p w14:paraId="26951368" w14:textId="54492331" w:rsidR="00B73997" w:rsidRPr="003546AE" w:rsidRDefault="00B73997" w:rsidP="00B73997">
            <w:pPr>
              <w:spacing w:line="240" w:lineRule="auto"/>
              <w:jc w:val="both"/>
              <w:rPr>
                <w:rFonts w:eastAsia="Times New Roman" w:cstheme="minorHAnsi"/>
              </w:rPr>
            </w:pPr>
            <w:r w:rsidRPr="00A965CA">
              <w:t xml:space="preserve">The Programme Director will hold a PhD in Education or related discipline or, at a minimum, a Level 9 award with relevant professional experience. </w:t>
            </w:r>
          </w:p>
        </w:tc>
        <w:tc>
          <w:tcPr>
            <w:tcW w:w="879" w:type="dxa"/>
            <w:vAlign w:val="center"/>
          </w:tcPr>
          <w:p w14:paraId="401644CA" w14:textId="3C9CAF60" w:rsidR="00B73997" w:rsidRPr="003546AE" w:rsidRDefault="00B73997" w:rsidP="00B73997">
            <w:pPr>
              <w:spacing w:line="240" w:lineRule="auto"/>
              <w:jc w:val="center"/>
              <w:rPr>
                <w:rFonts w:eastAsia="Times New Roman" w:cstheme="minorHAnsi"/>
              </w:rPr>
            </w:pPr>
            <w:r w:rsidRPr="00A965CA">
              <w:t>1</w:t>
            </w:r>
          </w:p>
        </w:tc>
      </w:tr>
      <w:tr w:rsidR="00B73997" w:rsidRPr="003546AE" w14:paraId="4D16C289" w14:textId="77777777" w:rsidTr="00B73997">
        <w:tc>
          <w:tcPr>
            <w:tcW w:w="2523" w:type="dxa"/>
            <w:vAlign w:val="center"/>
          </w:tcPr>
          <w:p w14:paraId="09A6B679" w14:textId="552D45A4" w:rsidR="00B73997" w:rsidRPr="003546AE" w:rsidRDefault="00B73997" w:rsidP="00B73997">
            <w:pPr>
              <w:spacing w:line="240" w:lineRule="auto"/>
              <w:jc w:val="center"/>
              <w:rPr>
                <w:rFonts w:eastAsia="Times New Roman" w:cstheme="minorHAnsi"/>
              </w:rPr>
            </w:pPr>
            <w:r w:rsidRPr="00A965CA">
              <w:t>Programme Coordinator</w:t>
            </w:r>
          </w:p>
        </w:tc>
        <w:tc>
          <w:tcPr>
            <w:tcW w:w="5670" w:type="dxa"/>
          </w:tcPr>
          <w:p w14:paraId="5BB30903" w14:textId="4FD52438" w:rsidR="00B73997" w:rsidRPr="003546AE" w:rsidRDefault="00B73997" w:rsidP="00B73997">
            <w:pPr>
              <w:spacing w:line="240" w:lineRule="auto"/>
              <w:jc w:val="both"/>
              <w:rPr>
                <w:rFonts w:eastAsia="Times New Roman" w:cstheme="minorHAnsi"/>
              </w:rPr>
            </w:pPr>
            <w:r w:rsidRPr="00A965CA">
              <w:t xml:space="preserve">The Programme Coordinator will have experience in relationship management and providing administrative support to faculty involved in the delivery in the programme. </w:t>
            </w:r>
          </w:p>
        </w:tc>
        <w:tc>
          <w:tcPr>
            <w:tcW w:w="879" w:type="dxa"/>
            <w:vAlign w:val="center"/>
          </w:tcPr>
          <w:p w14:paraId="7E6D95BF" w14:textId="0195E81A" w:rsidR="00B73997" w:rsidRPr="003546AE" w:rsidRDefault="00B73997" w:rsidP="00B73997">
            <w:pPr>
              <w:spacing w:line="240" w:lineRule="auto"/>
              <w:jc w:val="center"/>
              <w:rPr>
                <w:rFonts w:eastAsia="Times New Roman" w:cstheme="minorHAnsi"/>
              </w:rPr>
            </w:pPr>
            <w:r w:rsidRPr="00A965CA">
              <w:t>1</w:t>
            </w: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5526605D" w14:textId="0E2BAAF8" w:rsidR="000E6788" w:rsidRPr="003546AE" w:rsidRDefault="000E6788" w:rsidP="00D54C3F">
            <w:pPr>
              <w:spacing w:after="0" w:line="240" w:lineRule="auto"/>
              <w:rPr>
                <w:rFonts w:eastAsia="Times New Roman" w:cstheme="minorHAnsi"/>
              </w:rPr>
            </w:pPr>
            <w:r>
              <w:rPr>
                <w:rFonts w:eastAsia="Times New Roman" w:cstheme="minorHAnsi"/>
                <w:b/>
              </w:rPr>
              <w:t>Mode(s) of Delivery</w:t>
            </w:r>
          </w:p>
        </w:tc>
      </w:tr>
      <w:tr w:rsidR="000E6788" w:rsidRPr="0048373B" w14:paraId="5BE2E26A" w14:textId="77777777" w:rsidTr="000E6788">
        <w:trPr>
          <w:trHeight w:val="430"/>
        </w:trPr>
        <w:tc>
          <w:tcPr>
            <w:tcW w:w="9072" w:type="dxa"/>
            <w:shd w:val="clear" w:color="auto" w:fill="FFFFFF" w:themeFill="background1"/>
          </w:tcPr>
          <w:p w14:paraId="6EEB81E3" w14:textId="0C18529B" w:rsidR="000E6788" w:rsidRPr="003546AE" w:rsidRDefault="00CE0913" w:rsidP="00763EC3">
            <w:pPr>
              <w:spacing w:before="240" w:line="240" w:lineRule="auto"/>
              <w:jc w:val="both"/>
              <w:rPr>
                <w:rFonts w:eastAsia="Times New Roman" w:cstheme="minorHAnsi"/>
              </w:rPr>
            </w:pPr>
            <w:r>
              <w:rPr>
                <w:rFonts w:eastAsia="Times New Roman" w:cstheme="minorHAnsi"/>
              </w:rPr>
              <w:t>The programme will be delivered through a</w:t>
            </w:r>
            <w:r w:rsidR="00B73997">
              <w:rPr>
                <w:rFonts w:eastAsia="Times New Roman" w:cstheme="minorHAnsi"/>
              </w:rPr>
              <w:t xml:space="preserve">n online </w:t>
            </w:r>
            <w:r>
              <w:rPr>
                <w:rFonts w:eastAsia="Times New Roman" w:cstheme="minorHAnsi"/>
              </w:rPr>
              <w:t xml:space="preserve">learning mode, comprising synchronous online (50%) </w:t>
            </w:r>
            <w:r w:rsidR="00B73997">
              <w:rPr>
                <w:rFonts w:eastAsia="Times New Roman" w:cstheme="minorHAnsi"/>
              </w:rPr>
              <w:t xml:space="preserve">and directed e-learning (50%) </w:t>
            </w:r>
            <w:r>
              <w:rPr>
                <w:rFonts w:eastAsia="Times New Roman" w:cstheme="minorHAnsi"/>
              </w:rPr>
              <w:t xml:space="preserve">activities. </w:t>
            </w:r>
            <w:r w:rsidR="00A9526F">
              <w:rPr>
                <w:rFonts w:eastAsia="Times New Roman" w:cstheme="minorHAnsi"/>
              </w:rPr>
              <w:t>T</w:t>
            </w:r>
            <w:r w:rsidRPr="00CE0913">
              <w:rPr>
                <w:rFonts w:eastAsia="Times New Roman" w:cstheme="minorHAnsi"/>
              </w:rPr>
              <w:t>h</w:t>
            </w:r>
            <w:r w:rsidR="00B73997">
              <w:rPr>
                <w:rFonts w:eastAsia="Times New Roman" w:cstheme="minorHAnsi"/>
              </w:rPr>
              <w:t xml:space="preserve">is delivery mode allows for greater accessibility for prospective learners and greater flexibility for enrolled learners, while also mitigating </w:t>
            </w:r>
            <w:r w:rsidRPr="00CE0913">
              <w:rPr>
                <w:rFonts w:eastAsia="Times New Roman" w:cstheme="minorHAnsi"/>
              </w:rPr>
              <w:t>future risks to classroom provision potentially arising from the C</w:t>
            </w:r>
            <w:r w:rsidR="000F57CC">
              <w:rPr>
                <w:rFonts w:eastAsia="Times New Roman" w:cstheme="minorHAnsi"/>
              </w:rPr>
              <w:t>OVID</w:t>
            </w:r>
            <w:r w:rsidRPr="00CE0913">
              <w:rPr>
                <w:rFonts w:eastAsia="Times New Roman" w:cstheme="minorHAnsi"/>
              </w:rPr>
              <w:t>-19 pandemic.</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5A0A65">
        <w:trPr>
          <w:trHeight w:val="841"/>
        </w:trPr>
        <w:tc>
          <w:tcPr>
            <w:tcW w:w="9072" w:type="dxa"/>
            <w:shd w:val="clear" w:color="auto" w:fill="FFFFFF" w:themeFill="background1"/>
          </w:tcPr>
          <w:p w14:paraId="23E408E6" w14:textId="754FA6A7" w:rsidR="000E6788" w:rsidRPr="00F900FF" w:rsidRDefault="00605139" w:rsidP="00146F0A">
            <w:pPr>
              <w:suppressAutoHyphens/>
              <w:spacing w:before="240" w:after="120"/>
              <w:jc w:val="both"/>
              <w:rPr>
                <w:rFonts w:eastAsia="Times New Roman" w:cstheme="minorHAnsi"/>
                <w:bCs/>
                <w:color w:val="000000" w:themeColor="text1"/>
                <w:szCs w:val="20"/>
                <w:lang w:eastAsia="ar-SA"/>
              </w:rPr>
            </w:pPr>
            <w:r w:rsidRPr="00605139">
              <w:rPr>
                <w:rFonts w:eastAsia="Times New Roman" w:cstheme="minorHAnsi"/>
                <w:bCs/>
                <w:color w:val="000000" w:themeColor="text1"/>
                <w:szCs w:val="20"/>
                <w:lang w:eastAsia="ar-SA"/>
              </w:rPr>
              <w:t>The assessment</w:t>
            </w:r>
            <w:r>
              <w:rPr>
                <w:rFonts w:eastAsia="Times New Roman" w:cstheme="minorHAnsi"/>
                <w:bCs/>
                <w:color w:val="000000" w:themeColor="text1"/>
                <w:szCs w:val="20"/>
                <w:lang w:eastAsia="ar-SA"/>
              </w:rPr>
              <w:t xml:space="preserve"> strategy</w:t>
            </w:r>
            <w:r w:rsidRPr="00605139">
              <w:rPr>
                <w:rFonts w:eastAsia="Times New Roman" w:cstheme="minorHAnsi"/>
                <w:bCs/>
                <w:color w:val="000000" w:themeColor="text1"/>
                <w:szCs w:val="20"/>
                <w:lang w:eastAsia="ar-SA"/>
              </w:rPr>
              <w:t xml:space="preserve"> is designed to incorporate continuous practice</w:t>
            </w:r>
            <w:r>
              <w:rPr>
                <w:rFonts w:eastAsia="Times New Roman" w:cstheme="minorHAnsi"/>
                <w:bCs/>
                <w:color w:val="000000" w:themeColor="text1"/>
                <w:szCs w:val="20"/>
                <w:lang w:eastAsia="ar-SA"/>
              </w:rPr>
              <w:t>-</w:t>
            </w:r>
            <w:r w:rsidRPr="00605139">
              <w:rPr>
                <w:rFonts w:eastAsia="Times New Roman" w:cstheme="minorHAnsi"/>
                <w:bCs/>
                <w:color w:val="000000" w:themeColor="text1"/>
                <w:szCs w:val="20"/>
                <w:lang w:eastAsia="ar-SA"/>
              </w:rPr>
              <w:t xml:space="preserve">related learning, </w:t>
            </w:r>
            <w:proofErr w:type="gramStart"/>
            <w:r w:rsidRPr="00605139">
              <w:rPr>
                <w:rFonts w:eastAsia="Times New Roman" w:cstheme="minorHAnsi"/>
                <w:bCs/>
                <w:color w:val="000000" w:themeColor="text1"/>
                <w:szCs w:val="20"/>
                <w:lang w:eastAsia="ar-SA"/>
              </w:rPr>
              <w:t>reflections</w:t>
            </w:r>
            <w:proofErr w:type="gramEnd"/>
            <w:r w:rsidRPr="00605139">
              <w:rPr>
                <w:rFonts w:eastAsia="Times New Roman" w:cstheme="minorHAnsi"/>
                <w:bCs/>
                <w:color w:val="000000" w:themeColor="text1"/>
                <w:szCs w:val="20"/>
                <w:lang w:eastAsia="ar-SA"/>
              </w:rPr>
              <w:t xml:space="preserve"> and tasks, thereby enabling the participants to integrate theory and practice in a holistic way throughout the programme. Assessments include written assignments, multiple-choice quizzes, reflective practice and the development of practical materials. The focus will be on linking practical knowledge of working as a co-ordinator of a Home Visiting programme to the micro-credential </w:t>
            </w:r>
            <w:r w:rsidR="0044537F">
              <w:rPr>
                <w:rFonts w:eastAsia="Times New Roman" w:cstheme="minorHAnsi"/>
                <w:bCs/>
                <w:color w:val="000000" w:themeColor="text1"/>
                <w:szCs w:val="20"/>
                <w:lang w:eastAsia="ar-SA"/>
              </w:rPr>
              <w:t xml:space="preserve">programme </w:t>
            </w:r>
            <w:r w:rsidRPr="00605139">
              <w:rPr>
                <w:rFonts w:eastAsia="Times New Roman" w:cstheme="minorHAnsi"/>
                <w:bCs/>
                <w:color w:val="000000" w:themeColor="text1"/>
                <w:szCs w:val="20"/>
                <w:lang w:eastAsia="ar-SA"/>
              </w:rPr>
              <w:t>content.</w:t>
            </w:r>
            <w:r>
              <w:rPr>
                <w:rFonts w:eastAsia="Times New Roman" w:cstheme="minorHAnsi"/>
                <w:bCs/>
                <w:color w:val="000000" w:themeColor="text1"/>
                <w:szCs w:val="20"/>
                <w:lang w:eastAsia="ar-SA"/>
              </w:rPr>
              <w:t xml:space="preserve">  </w:t>
            </w:r>
            <w:r w:rsidRPr="00605139">
              <w:rPr>
                <w:rFonts w:eastAsia="Times New Roman" w:cstheme="minorHAnsi"/>
                <w:bCs/>
                <w:color w:val="000000" w:themeColor="text1"/>
                <w:szCs w:val="20"/>
                <w:lang w:eastAsia="ar-SA"/>
              </w:rPr>
              <w:t xml:space="preserve">Students will be assessed on their development skills, knowledge and their </w:t>
            </w:r>
            <w:r w:rsidRPr="00605139">
              <w:rPr>
                <w:rFonts w:eastAsia="Times New Roman" w:cstheme="minorHAnsi"/>
                <w:bCs/>
                <w:color w:val="000000" w:themeColor="text1"/>
                <w:szCs w:val="20"/>
                <w:lang w:eastAsia="ar-SA"/>
              </w:rPr>
              <w:lastRenderedPageBreak/>
              <w:t>ability to convey understanding of the course content and apply theories and class learning to practice.</w:t>
            </w:r>
          </w:p>
        </w:tc>
      </w:tr>
    </w:tbl>
    <w:p w14:paraId="2C9B9B4E" w14:textId="7C1E1B12" w:rsidR="00AB25A0" w:rsidRDefault="00AB25A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2C1E9735"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t xml:space="preserve">Panel Commentary </w:t>
            </w:r>
            <w:r>
              <w:rPr>
                <w:rFonts w:eastAsia="Times New Roman" w:cstheme="minorHAnsi"/>
                <w:b/>
                <w:bCs/>
              </w:rPr>
              <w:t xml:space="preserve">on Section D: </w:t>
            </w:r>
            <w:r w:rsidRPr="000E6788">
              <w:rPr>
                <w:rFonts w:eastAsia="Times New Roman" w:cstheme="minorHAnsi"/>
                <w:b/>
                <w:bCs/>
              </w:rPr>
              <w:t>Programme Content, Delivery and Assessment</w:t>
            </w:r>
          </w:p>
          <w:p w14:paraId="76407107" w14:textId="31E9CD66"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the </w:t>
            </w:r>
            <w:r w:rsidR="00F46A6C">
              <w:rPr>
                <w:rFonts w:eastAsia="Times New Roman" w:cstheme="minorHAnsi"/>
                <w:i/>
                <w:iCs/>
                <w:noProof/>
                <w:sz w:val="18"/>
                <w:szCs w:val="18"/>
              </w:rPr>
              <w:t>programme content, mode(s) of delivery and assessment, human and ICT resources.</w:t>
            </w:r>
            <w:r w:rsidR="00DC664A">
              <w:rPr>
                <w:rFonts w:eastAsia="Times New Roman" w:cstheme="minorHAnsi"/>
                <w:i/>
                <w:iCs/>
                <w:noProof/>
                <w:sz w:val="18"/>
                <w:szCs w:val="18"/>
              </w:rPr>
              <w:t xml:space="preserve">  </w:t>
            </w:r>
            <w:r w:rsidR="00AB25A0">
              <w:rPr>
                <w:rFonts w:eastAsia="Times New Roman" w:cstheme="minorHAnsi"/>
                <w:i/>
                <w:iCs/>
                <w:noProof/>
                <w:sz w:val="18"/>
                <w:szCs w:val="18"/>
              </w:rPr>
              <w:t>If the parent programme is more than a year old, the currency of module content and supporting technology should be checked.</w:t>
            </w:r>
          </w:p>
          <w:p w14:paraId="5FEC2F85" w14:textId="2DDA7C93"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 while also recognising that the programme of which this microcredential is a module, has already been deemed to have met these criteria.</w:t>
            </w:r>
            <w:r w:rsidR="00DC664A">
              <w:rPr>
                <w:rFonts w:eastAsia="Times New Roman" w:cstheme="minorHAnsi"/>
                <w:i/>
                <w:iCs/>
                <w:noProof/>
                <w:sz w:val="18"/>
                <w:szCs w:val="18"/>
              </w:rPr>
              <w:t xml:space="preserve">  </w:t>
            </w:r>
          </w:p>
          <w:p w14:paraId="664D8ED0" w14:textId="3BD0B9DA"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Criterion 5</w:t>
            </w:r>
            <w:r>
              <w:rPr>
                <w:b w:val="0"/>
                <w:bCs/>
                <w:i/>
                <w:iCs/>
                <w:sz w:val="18"/>
                <w:szCs w:val="18"/>
              </w:rPr>
              <w:t>:</w:t>
            </w:r>
            <w:r>
              <w:rPr>
                <w:b w:val="0"/>
                <w:bCs/>
                <w:i/>
                <w:iCs/>
                <w:sz w:val="18"/>
                <w:szCs w:val="18"/>
              </w:rPr>
              <w:tab/>
            </w:r>
            <w:r w:rsidRPr="00683744">
              <w:rPr>
                <w:b w:val="0"/>
                <w:bCs/>
                <w:i/>
                <w:iCs/>
                <w:sz w:val="18"/>
                <w:szCs w:val="18"/>
              </w:rPr>
              <w:t>The programme’s written curriculum is well structured and fit-for-purpose.</w:t>
            </w:r>
          </w:p>
          <w:p w14:paraId="4B326DCF" w14:textId="4C0A76F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There are sufficient qualified and capable programme staff available to implement the programme as planned</w:t>
            </w:r>
          </w:p>
          <w:p w14:paraId="4883F7D7" w14:textId="34820E01"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There are sufficient physical resources to implement the programme as 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83174F">
        <w:tc>
          <w:tcPr>
            <w:tcW w:w="9072" w:type="dxa"/>
            <w:tcBorders>
              <w:top w:val="single" w:sz="4" w:space="0" w:color="auto"/>
              <w:left w:val="single" w:sz="4" w:space="0" w:color="auto"/>
              <w:bottom w:val="single" w:sz="4" w:space="0" w:color="auto"/>
              <w:right w:val="single" w:sz="4" w:space="0" w:color="auto"/>
            </w:tcBorders>
            <w:shd w:val="clear" w:color="auto" w:fill="auto"/>
          </w:tcPr>
          <w:p w14:paraId="21F61D77" w14:textId="07B7DB98" w:rsidR="000E6788" w:rsidRPr="00582032" w:rsidRDefault="00582032" w:rsidP="000F57CC">
            <w:pPr>
              <w:spacing w:after="0" w:line="240" w:lineRule="auto"/>
              <w:jc w:val="both"/>
              <w:rPr>
                <w:rFonts w:eastAsia="Times New Roman" w:cstheme="minorHAnsi"/>
                <w:b/>
                <w:bCs/>
              </w:rPr>
            </w:pPr>
            <w:r w:rsidRPr="00582032">
              <w:rPr>
                <w:rFonts w:eastAsia="Times New Roman" w:cstheme="minorHAnsi"/>
                <w:b/>
                <w:bCs/>
              </w:rPr>
              <w:t>Currency of content:</w:t>
            </w:r>
          </w:p>
          <w:p w14:paraId="50B45A80" w14:textId="0265AB48" w:rsidR="004107AA" w:rsidRDefault="000F57CC" w:rsidP="000F57CC">
            <w:pPr>
              <w:spacing w:after="0" w:line="240" w:lineRule="auto"/>
              <w:jc w:val="both"/>
              <w:rPr>
                <w:rFonts w:eastAsia="Times New Roman" w:cstheme="minorHAnsi"/>
              </w:rPr>
            </w:pPr>
            <w:r w:rsidRPr="000F57CC">
              <w:rPr>
                <w:rFonts w:eastAsia="Times New Roman" w:cstheme="minorHAnsi"/>
              </w:rPr>
              <w:t>The panel is satisfied that the programme’s written curriculum is well structured and fit-for-purpose.</w:t>
            </w:r>
            <w:r w:rsidR="00ED7CC3">
              <w:rPr>
                <w:rFonts w:eastAsia="Times New Roman" w:cstheme="minorHAnsi"/>
                <w:noProof/>
              </w:rPr>
              <w:t xml:space="preserve"> </w:t>
            </w:r>
            <w:bookmarkStart w:id="2" w:name="_Hlk70959511"/>
            <w:r w:rsidR="00ED7CC3">
              <w:rPr>
                <w:rFonts w:eastAsia="Times New Roman" w:cstheme="minorHAnsi"/>
                <w:noProof/>
              </w:rPr>
              <w:t>Including reference to an induction programme to support learners and ongoing support in this context would be helpful</w:t>
            </w:r>
            <w:r w:rsidR="00DF526C">
              <w:rPr>
                <w:rFonts w:eastAsia="Times New Roman" w:cstheme="minorHAnsi"/>
                <w:noProof/>
              </w:rPr>
              <w:t xml:space="preserve">. </w:t>
            </w:r>
            <w:bookmarkEnd w:id="2"/>
            <w:r w:rsidR="00ED7CC3">
              <w:rPr>
                <w:rFonts w:eastAsia="Times New Roman" w:cstheme="minorHAnsi"/>
              </w:rPr>
              <w:t xml:space="preserve">The </w:t>
            </w:r>
            <w:r w:rsidRPr="000F57CC">
              <w:rPr>
                <w:rFonts w:eastAsia="Times New Roman" w:cstheme="minorHAnsi"/>
              </w:rPr>
              <w:t xml:space="preserve">panel finds that the </w:t>
            </w:r>
            <w:r>
              <w:rPr>
                <w:rFonts w:eastAsia="Times New Roman" w:cstheme="minorHAnsi"/>
              </w:rPr>
              <w:t>inclusion of the ‘virtual environment’ at relevant points throughout the documentation would enhance the relevancy of the micro-credential</w:t>
            </w:r>
            <w:r w:rsidR="00ED7CC3">
              <w:rPr>
                <w:rFonts w:eastAsia="Times New Roman" w:cstheme="minorHAnsi"/>
              </w:rPr>
              <w:t xml:space="preserve"> programme’s</w:t>
            </w:r>
            <w:r>
              <w:rPr>
                <w:rFonts w:eastAsia="Times New Roman" w:cstheme="minorHAnsi"/>
              </w:rPr>
              <w:t xml:space="preserve"> aims / objectives. </w:t>
            </w:r>
          </w:p>
          <w:p w14:paraId="2CC88A4B" w14:textId="77777777" w:rsidR="00AB25A0" w:rsidRPr="00582032" w:rsidRDefault="00AB25A0" w:rsidP="000F57CC">
            <w:pPr>
              <w:spacing w:after="0" w:line="240" w:lineRule="auto"/>
              <w:jc w:val="both"/>
              <w:rPr>
                <w:rFonts w:eastAsia="Times New Roman" w:cstheme="minorHAnsi"/>
              </w:rPr>
            </w:pPr>
          </w:p>
          <w:p w14:paraId="33BBF0BA" w14:textId="5B1C8518" w:rsidR="00AB25A0" w:rsidRPr="00582032" w:rsidRDefault="00582032" w:rsidP="000F57CC">
            <w:pPr>
              <w:spacing w:after="0" w:line="240" w:lineRule="auto"/>
              <w:jc w:val="both"/>
              <w:rPr>
                <w:rFonts w:eastAsia="Times New Roman" w:cstheme="minorHAnsi"/>
                <w:b/>
                <w:bCs/>
              </w:rPr>
            </w:pPr>
            <w:r w:rsidRPr="00582032">
              <w:rPr>
                <w:rFonts w:eastAsia="Times New Roman" w:cstheme="minorHAnsi"/>
                <w:b/>
                <w:bCs/>
              </w:rPr>
              <w:t>Delivery mode</w:t>
            </w:r>
            <w:r>
              <w:rPr>
                <w:rFonts w:eastAsia="Times New Roman" w:cstheme="minorHAnsi"/>
                <w:b/>
                <w:bCs/>
              </w:rPr>
              <w:t>(</w:t>
            </w:r>
            <w:r w:rsidRPr="00582032">
              <w:rPr>
                <w:rFonts w:eastAsia="Times New Roman" w:cstheme="minorHAnsi"/>
                <w:b/>
                <w:bCs/>
              </w:rPr>
              <w:t>s</w:t>
            </w:r>
            <w:r>
              <w:rPr>
                <w:rFonts w:eastAsia="Times New Roman" w:cstheme="minorHAnsi"/>
                <w:b/>
                <w:bCs/>
              </w:rPr>
              <w:t>)</w:t>
            </w:r>
            <w:r w:rsidRPr="00582032">
              <w:rPr>
                <w:rFonts w:eastAsia="Times New Roman" w:cstheme="minorHAnsi"/>
                <w:b/>
                <w:bCs/>
              </w:rPr>
              <w:t>:</w:t>
            </w:r>
          </w:p>
          <w:p w14:paraId="3042DF15" w14:textId="7678B713" w:rsidR="004C0B17" w:rsidRDefault="000F57CC" w:rsidP="000F57CC">
            <w:pPr>
              <w:spacing w:after="0" w:line="240" w:lineRule="auto"/>
              <w:jc w:val="both"/>
              <w:rPr>
                <w:rFonts w:eastAsia="Times New Roman" w:cstheme="minorHAnsi"/>
              </w:rPr>
            </w:pPr>
            <w:r w:rsidRPr="000F57CC">
              <w:rPr>
                <w:rFonts w:eastAsia="Times New Roman" w:cstheme="minorHAnsi"/>
              </w:rPr>
              <w:t>The panel is of the view that the online delivery model will support learners to develop their skills of delivering their home visiting programme in a virtual manner. However, some attention should be given to ensuring that the e-learning pedagogies of the programme are</w:t>
            </w:r>
            <w:r w:rsidR="002253F7">
              <w:rPr>
                <w:rFonts w:eastAsia="Times New Roman" w:cstheme="minorHAnsi"/>
              </w:rPr>
              <w:t xml:space="preserve"> </w:t>
            </w:r>
            <w:r w:rsidRPr="000F57CC">
              <w:rPr>
                <w:rFonts w:eastAsia="Times New Roman" w:cstheme="minorHAnsi"/>
              </w:rPr>
              <w:t>fully considered</w:t>
            </w:r>
            <w:r w:rsidR="002253F7">
              <w:rPr>
                <w:rFonts w:eastAsia="Times New Roman" w:cstheme="minorHAnsi"/>
              </w:rPr>
              <w:t xml:space="preserve"> and their alignment with key principles of instructional and universal design specified. </w:t>
            </w:r>
          </w:p>
          <w:p w14:paraId="2E109BD7" w14:textId="77777777" w:rsidR="00AB25A0" w:rsidRPr="00582032" w:rsidRDefault="00AB25A0" w:rsidP="000F57CC">
            <w:pPr>
              <w:spacing w:after="0" w:line="240" w:lineRule="auto"/>
              <w:jc w:val="both"/>
              <w:rPr>
                <w:rFonts w:eastAsia="Times New Roman" w:cstheme="minorHAnsi"/>
              </w:rPr>
            </w:pPr>
          </w:p>
          <w:p w14:paraId="6C8EBE80" w14:textId="77777777" w:rsidR="000F57CC" w:rsidRPr="00582032" w:rsidRDefault="000F57CC" w:rsidP="000F57CC">
            <w:pPr>
              <w:spacing w:after="0" w:line="240" w:lineRule="auto"/>
              <w:jc w:val="both"/>
              <w:rPr>
                <w:rFonts w:eastAsia="Times New Roman" w:cstheme="minorHAnsi"/>
                <w:b/>
                <w:bCs/>
              </w:rPr>
            </w:pPr>
            <w:r w:rsidRPr="00582032">
              <w:rPr>
                <w:rFonts w:eastAsia="Times New Roman" w:cstheme="minorHAnsi"/>
                <w:b/>
                <w:bCs/>
              </w:rPr>
              <w:t>Assessment strategy:</w:t>
            </w:r>
          </w:p>
          <w:p w14:paraId="3B2F2258" w14:textId="3EE22422" w:rsidR="000F57CC" w:rsidRPr="00582032" w:rsidRDefault="000F57CC" w:rsidP="000F57CC">
            <w:pPr>
              <w:spacing w:after="0" w:line="240" w:lineRule="auto"/>
              <w:jc w:val="both"/>
              <w:rPr>
                <w:rFonts w:eastAsia="Times New Roman" w:cstheme="minorHAnsi"/>
              </w:rPr>
            </w:pPr>
            <w:r>
              <w:rPr>
                <w:rFonts w:eastAsia="Times New Roman" w:cstheme="minorHAnsi"/>
              </w:rPr>
              <w:t xml:space="preserve">The panel is of the view that an appropriate assessment strategy is proposed. </w:t>
            </w:r>
            <w:r w:rsidR="00ED7CC3">
              <w:rPr>
                <w:rFonts w:eastAsia="Times New Roman" w:cstheme="minorHAnsi"/>
              </w:rPr>
              <w:t>However</w:t>
            </w:r>
            <w:r w:rsidR="00E42D3D">
              <w:rPr>
                <w:rFonts w:eastAsia="Times New Roman" w:cstheme="minorHAnsi"/>
              </w:rPr>
              <w:t>,</w:t>
            </w:r>
            <w:r w:rsidR="00ED7CC3">
              <w:rPr>
                <w:rFonts w:eastAsia="Times New Roman" w:cstheme="minorHAnsi"/>
              </w:rPr>
              <w:t xml:space="preserve"> it is suggested that the danger of over-assessment </w:t>
            </w:r>
            <w:r w:rsidR="00E42D3D">
              <w:rPr>
                <w:rFonts w:eastAsia="Times New Roman" w:cstheme="minorHAnsi"/>
              </w:rPr>
              <w:t>is</w:t>
            </w:r>
            <w:r w:rsidR="00ED7CC3">
              <w:rPr>
                <w:rFonts w:eastAsia="Times New Roman" w:cstheme="minorHAnsi"/>
              </w:rPr>
              <w:t xml:space="preserve"> considered throughout in terms of learners’ workload and that the purpose of each element of assessment is clear and linked to programme outcomes.</w:t>
            </w:r>
          </w:p>
          <w:p w14:paraId="1A456EE6" w14:textId="77777777" w:rsidR="000F57CC" w:rsidRDefault="000F57CC" w:rsidP="000F57CC">
            <w:pPr>
              <w:spacing w:after="0" w:line="240" w:lineRule="auto"/>
              <w:jc w:val="both"/>
              <w:rPr>
                <w:rFonts w:eastAsia="Times New Roman" w:cstheme="minorHAnsi"/>
                <w:b/>
                <w:bCs/>
              </w:rPr>
            </w:pPr>
          </w:p>
          <w:p w14:paraId="6F3D44BA" w14:textId="77777777" w:rsidR="000F57CC" w:rsidRPr="00582032" w:rsidRDefault="000F57CC" w:rsidP="000F57CC">
            <w:pPr>
              <w:spacing w:after="0" w:line="240" w:lineRule="auto"/>
              <w:jc w:val="both"/>
              <w:rPr>
                <w:rFonts w:eastAsia="Times New Roman" w:cstheme="minorHAnsi"/>
                <w:b/>
                <w:bCs/>
              </w:rPr>
            </w:pPr>
            <w:r w:rsidRPr="00582032">
              <w:rPr>
                <w:rFonts w:eastAsia="Times New Roman" w:cstheme="minorHAnsi"/>
                <w:b/>
                <w:bCs/>
              </w:rPr>
              <w:t>Human and ICT resources:</w:t>
            </w:r>
          </w:p>
          <w:p w14:paraId="1C827641" w14:textId="77777777" w:rsidR="000F57CC" w:rsidRPr="00C5372C" w:rsidRDefault="000F57CC" w:rsidP="000F57CC">
            <w:pPr>
              <w:spacing w:after="0" w:line="240" w:lineRule="auto"/>
              <w:jc w:val="both"/>
              <w:rPr>
                <w:rFonts w:eastAsia="Times New Roman" w:cstheme="minorHAnsi"/>
                <w:bCs/>
              </w:rPr>
            </w:pPr>
            <w:r>
              <w:rPr>
                <w:rFonts w:eastAsia="Times New Roman" w:cstheme="minorHAnsi"/>
                <w:bCs/>
              </w:rPr>
              <w:t xml:space="preserve">The panel is of the view that there are sufficient Human and ICT resources to implement the programme as planned. </w:t>
            </w:r>
          </w:p>
          <w:p w14:paraId="5820A587" w14:textId="343AB1A0" w:rsidR="00582032" w:rsidRPr="000E6788" w:rsidRDefault="0058203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0D049804" w14:textId="77777777" w:rsidR="00AB25A0" w:rsidRDefault="00AB25A0">
      <w:pPr>
        <w:rPr>
          <w:rFonts w:asciiTheme="majorHAnsi" w:eastAsiaTheme="majorEastAsia" w:hAnsiTheme="majorHAnsi" w:cstheme="majorBidi"/>
          <w:b/>
          <w:color w:val="2F5496" w:themeColor="accent1" w:themeShade="BF"/>
          <w:sz w:val="32"/>
          <w:szCs w:val="32"/>
        </w:rPr>
      </w:pPr>
      <w:r>
        <w:br w:type="page"/>
      </w: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83174F">
        <w:tc>
          <w:tcPr>
            <w:tcW w:w="1838" w:type="dxa"/>
            <w:shd w:val="clear" w:color="auto" w:fill="auto"/>
          </w:tcPr>
          <w:p w14:paraId="5B3ECADC" w14:textId="77777777" w:rsidR="00C84708" w:rsidRPr="003546AE" w:rsidRDefault="00C84708" w:rsidP="00C84708">
            <w:pPr>
              <w:rPr>
                <w:rFonts w:cstheme="minorHAnsi"/>
              </w:rPr>
            </w:pP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BE1976">
        <w:tc>
          <w:tcPr>
            <w:tcW w:w="1838" w:type="dxa"/>
            <w:shd w:val="clear" w:color="auto" w:fill="auto"/>
            <w:vAlign w:val="center"/>
          </w:tcPr>
          <w:p w14:paraId="79044E65" w14:textId="31562585" w:rsidR="00C84708" w:rsidRPr="00BE1976" w:rsidRDefault="00BE1976" w:rsidP="00BE1976">
            <w:pPr>
              <w:jc w:val="center"/>
              <w:rPr>
                <w:rFonts w:cstheme="minorHAnsi"/>
                <w:b/>
                <w:bCs/>
              </w:rPr>
            </w:pPr>
            <w:r w:rsidRPr="00BE1976">
              <w:rPr>
                <w:rFonts w:cstheme="minorHAnsi"/>
                <w:b/>
                <w:bCs/>
              </w:rPr>
              <w:t>X</w:t>
            </w: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w:t>
            </w:r>
            <w:proofErr w:type="gramStart"/>
            <w:r w:rsidRPr="003546AE">
              <w:rPr>
                <w:rFonts w:cstheme="minorHAnsi"/>
              </w:rPr>
              <w:t>i.e.</w:t>
            </w:r>
            <w:proofErr w:type="gramEnd"/>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83174F">
        <w:tc>
          <w:tcPr>
            <w:tcW w:w="1838" w:type="dxa"/>
            <w:shd w:val="clear" w:color="auto" w:fill="auto"/>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5E732530" w14:textId="77777777" w:rsidR="00C84708" w:rsidRPr="003546AE" w:rsidRDefault="00BC1208" w:rsidP="0083174F">
      <w:pPr>
        <w:pStyle w:val="Heading3"/>
      </w:pPr>
      <w:r w:rsidRPr="00BF7A5C">
        <w:t>Reasons</w:t>
      </w:r>
      <w:r w:rsidRPr="003546AE">
        <w:t xml:space="preserve"> for the </w:t>
      </w:r>
      <w:r w:rsidRPr="00BF7A5C">
        <w:t>overall</w:t>
      </w:r>
      <w:r w:rsidRPr="003546AE">
        <w:t xml:space="preserve"> recommendation</w:t>
      </w:r>
    </w:p>
    <w:p w14:paraId="026699A7" w14:textId="43F0FEE3" w:rsidR="00C84708" w:rsidRPr="000F57CC" w:rsidRDefault="000F57CC" w:rsidP="00E50626">
      <w:pPr>
        <w:pStyle w:val="ListParagraph"/>
        <w:numPr>
          <w:ilvl w:val="0"/>
          <w:numId w:val="12"/>
        </w:numPr>
        <w:jc w:val="both"/>
        <w:rPr>
          <w:rFonts w:cstheme="minorHAnsi"/>
        </w:rPr>
      </w:pPr>
      <w:r w:rsidRPr="000F57CC">
        <w:rPr>
          <w:rFonts w:cstheme="minorHAnsi"/>
        </w:rPr>
        <w:t>The panel agree that there is a strong</w:t>
      </w:r>
      <w:r w:rsidR="00DF526C" w:rsidRPr="00DF526C">
        <w:rPr>
          <w:rFonts w:eastAsia="Times New Roman" w:cstheme="minorHAnsi"/>
          <w:noProof/>
        </w:rPr>
        <w:t xml:space="preserve"> </w:t>
      </w:r>
      <w:r w:rsidR="00DF526C">
        <w:rPr>
          <w:rFonts w:eastAsia="Times New Roman" w:cstheme="minorHAnsi"/>
          <w:noProof/>
        </w:rPr>
        <w:t>and convincing rationale,</w:t>
      </w:r>
      <w:r w:rsidR="00DF526C" w:rsidRPr="00621378">
        <w:rPr>
          <w:rFonts w:eastAsia="Times New Roman" w:cstheme="minorHAnsi"/>
          <w:noProof/>
        </w:rPr>
        <w:t xml:space="preserve"> </w:t>
      </w:r>
      <w:bookmarkStart w:id="3" w:name="_Hlk70959885"/>
      <w:r w:rsidR="00DF526C">
        <w:rPr>
          <w:rFonts w:eastAsia="Times New Roman" w:cstheme="minorHAnsi"/>
          <w:noProof/>
        </w:rPr>
        <w:t xml:space="preserve">from both a national and international evidence-based perspective, </w:t>
      </w:r>
      <w:bookmarkEnd w:id="3"/>
      <w:r w:rsidRPr="000F57CC">
        <w:rPr>
          <w:rFonts w:cstheme="minorHAnsi"/>
        </w:rPr>
        <w:t xml:space="preserve">to deliver this online Level </w:t>
      </w:r>
      <w:r w:rsidR="00EB559C">
        <w:rPr>
          <w:rFonts w:cstheme="minorHAnsi"/>
        </w:rPr>
        <w:t>7</w:t>
      </w:r>
      <w:r w:rsidRPr="000F57CC">
        <w:rPr>
          <w:rFonts w:cstheme="minorHAnsi"/>
        </w:rPr>
        <w:t xml:space="preserve"> Special Purpose micro-credential programme. Moreover, the statistical data provided indicate that there is a demand for a micro-credential programme in this sector and the face-to-face module currently offered at NCI ha</w:t>
      </w:r>
      <w:r w:rsidR="00E50626">
        <w:rPr>
          <w:rFonts w:cstheme="minorHAnsi"/>
        </w:rPr>
        <w:t>s</w:t>
      </w:r>
      <w:r w:rsidRPr="000F57CC">
        <w:rPr>
          <w:rFonts w:cstheme="minorHAnsi"/>
        </w:rPr>
        <w:t xml:space="preserve"> the capacity to be offered online as a mice-credential programme. The panel is of the view that the Validation Criterion are satisfactory subject to the proposed </w:t>
      </w:r>
      <w:r w:rsidRPr="00E50626">
        <w:rPr>
          <w:rFonts w:cstheme="minorHAnsi"/>
          <w:u w:val="single"/>
        </w:rPr>
        <w:t>minor</w:t>
      </w:r>
      <w:r w:rsidRPr="000F57CC">
        <w:rPr>
          <w:rFonts w:cstheme="minorHAnsi"/>
        </w:rPr>
        <w:t xml:space="preserve"> special conditions detailed below.  </w:t>
      </w:r>
    </w:p>
    <w:p w14:paraId="35214EC5" w14:textId="4F35A65B" w:rsidR="00C84708" w:rsidRPr="003546AE" w:rsidRDefault="00036062" w:rsidP="0083174F">
      <w:pPr>
        <w:pStyle w:val="Heading3"/>
        <w:jc w:val="both"/>
      </w:pPr>
      <w:r>
        <w:t>Any other observations:</w:t>
      </w:r>
    </w:p>
    <w:p w14:paraId="59D7B0C3" w14:textId="2108415A" w:rsidR="00C84708" w:rsidRPr="003546AE" w:rsidRDefault="00E50626" w:rsidP="0083174F">
      <w:pPr>
        <w:pStyle w:val="ListParagraph"/>
        <w:numPr>
          <w:ilvl w:val="0"/>
          <w:numId w:val="13"/>
        </w:numPr>
        <w:jc w:val="both"/>
        <w:rPr>
          <w:rFonts w:cstheme="minorHAnsi"/>
        </w:rPr>
      </w:pPr>
      <w:r>
        <w:rPr>
          <w:rFonts w:cstheme="minorHAnsi"/>
        </w:rPr>
        <w:t>T</w:t>
      </w:r>
      <w:r w:rsidRPr="00E50626">
        <w:rPr>
          <w:rFonts w:cstheme="minorHAnsi"/>
        </w:rPr>
        <w:t xml:space="preserve">he inclusion of the ‘virtual environment’ at relevant points throughout the documentation would enhance the relevancy of the micro-credential </w:t>
      </w:r>
      <w:r w:rsidR="0044537F">
        <w:rPr>
          <w:rFonts w:cstheme="minorHAnsi"/>
        </w:rPr>
        <w:t xml:space="preserve">programme’s </w:t>
      </w:r>
      <w:r w:rsidRPr="00E50626">
        <w:rPr>
          <w:rFonts w:cstheme="minorHAnsi"/>
        </w:rPr>
        <w:t>aims / objectives.</w:t>
      </w:r>
    </w:p>
    <w:p w14:paraId="42A50779" w14:textId="77777777" w:rsidR="00C84708" w:rsidRPr="003546AE" w:rsidRDefault="00BC1208" w:rsidP="0083174F">
      <w:pPr>
        <w:pStyle w:val="Heading3"/>
        <w:jc w:val="both"/>
      </w:pPr>
      <w:r w:rsidRPr="003546AE">
        <w:t>Special Conditions of Validation (directive and with timescale for compliance)</w:t>
      </w:r>
    </w:p>
    <w:p w14:paraId="4B747598" w14:textId="16100A66" w:rsidR="00E50626" w:rsidRPr="00E50626" w:rsidRDefault="00E50626" w:rsidP="0083174F">
      <w:pPr>
        <w:pStyle w:val="ListParagraph"/>
        <w:numPr>
          <w:ilvl w:val="0"/>
          <w:numId w:val="15"/>
        </w:numPr>
        <w:jc w:val="both"/>
        <w:rPr>
          <w:rFonts w:cstheme="minorHAnsi"/>
        </w:rPr>
      </w:pPr>
      <w:r w:rsidRPr="00E50626">
        <w:rPr>
          <w:rFonts w:cstheme="minorHAnsi"/>
        </w:rPr>
        <w:t xml:space="preserve">The MIPLOs </w:t>
      </w:r>
      <w:r w:rsidR="00472C98">
        <w:rPr>
          <w:rFonts w:cstheme="minorHAnsi"/>
        </w:rPr>
        <w:t>are</w:t>
      </w:r>
      <w:r w:rsidRPr="00E50626">
        <w:rPr>
          <w:rFonts w:cstheme="minorHAnsi"/>
        </w:rPr>
        <w:t xml:space="preserve"> reviewed and revised to more closely reflect learning outcomes that </w:t>
      </w:r>
      <w:r w:rsidR="0044537F">
        <w:rPr>
          <w:rFonts w:cstheme="minorHAnsi"/>
        </w:rPr>
        <w:t xml:space="preserve">are realistic and achievable </w:t>
      </w:r>
      <w:r w:rsidRPr="00E50626">
        <w:rPr>
          <w:rFonts w:cstheme="minorHAnsi"/>
        </w:rPr>
        <w:t xml:space="preserve">in a Level </w:t>
      </w:r>
      <w:r w:rsidR="00EB559C">
        <w:rPr>
          <w:rFonts w:cstheme="minorHAnsi"/>
        </w:rPr>
        <w:t>7</w:t>
      </w:r>
      <w:r w:rsidRPr="00E50626">
        <w:rPr>
          <w:rFonts w:cstheme="minorHAnsi"/>
        </w:rPr>
        <w:t xml:space="preserve"> Award made up of </w:t>
      </w:r>
      <w:r w:rsidR="00EB559C">
        <w:rPr>
          <w:rFonts w:cstheme="minorHAnsi"/>
        </w:rPr>
        <w:t>1</w:t>
      </w:r>
      <w:r w:rsidRPr="00E50626">
        <w:rPr>
          <w:rFonts w:cstheme="minorHAnsi"/>
        </w:rPr>
        <w:t>0 ECTS</w:t>
      </w:r>
      <w:r>
        <w:rPr>
          <w:rFonts w:cstheme="minorHAnsi"/>
        </w:rPr>
        <w:t>.</w:t>
      </w:r>
      <w:r w:rsidRPr="00E50626">
        <w:rPr>
          <w:rFonts w:cstheme="minorHAnsi"/>
        </w:rPr>
        <w:t xml:space="preserve"> </w:t>
      </w:r>
    </w:p>
    <w:p w14:paraId="4DD02EDF" w14:textId="44674BA6" w:rsidR="00E50626" w:rsidRPr="00E42D3D" w:rsidRDefault="00E50626" w:rsidP="0083174F">
      <w:pPr>
        <w:pStyle w:val="ListParagraph"/>
        <w:numPr>
          <w:ilvl w:val="0"/>
          <w:numId w:val="15"/>
        </w:numPr>
        <w:jc w:val="both"/>
        <w:rPr>
          <w:rFonts w:cstheme="minorHAnsi"/>
        </w:rPr>
      </w:pPr>
      <w:r w:rsidRPr="00E50626">
        <w:rPr>
          <w:rFonts w:cstheme="minorHAnsi"/>
        </w:rPr>
        <w:t xml:space="preserve">Based on the target-client / potential learner, the entry requirements </w:t>
      </w:r>
      <w:r w:rsidR="00472C98">
        <w:rPr>
          <w:rFonts w:cstheme="minorHAnsi"/>
        </w:rPr>
        <w:t>are revised to</w:t>
      </w:r>
      <w:r w:rsidRPr="00E50626">
        <w:rPr>
          <w:rFonts w:cstheme="minorHAnsi"/>
        </w:rPr>
        <w:t xml:space="preserve"> indicate technical skills / computer proficiency as a stated criterion and the e-learning pedagogies be more fully considered in the programme documentation</w:t>
      </w:r>
      <w:r w:rsidR="0044537F">
        <w:rPr>
          <w:rFonts w:cstheme="minorHAnsi"/>
        </w:rPr>
        <w:t xml:space="preserve"> </w:t>
      </w:r>
      <w:bookmarkStart w:id="4" w:name="_Hlk70960096"/>
      <w:r w:rsidR="0044537F">
        <w:rPr>
          <w:rFonts w:cstheme="minorHAnsi"/>
        </w:rPr>
        <w:t>and their alignment with key principles of instructional and universal design specified</w:t>
      </w:r>
      <w:r w:rsidR="00E42D3D">
        <w:rPr>
          <w:rFonts w:cstheme="minorHAnsi"/>
        </w:rPr>
        <w:t xml:space="preserve">. </w:t>
      </w:r>
      <w:r w:rsidR="0044537F">
        <w:rPr>
          <w:rFonts w:eastAsia="Times New Roman" w:cstheme="minorHAnsi"/>
          <w:noProof/>
        </w:rPr>
        <w:t>Including reference to an induction programme to support learners and ongoing support in this context would be helpful</w:t>
      </w:r>
      <w:r w:rsidR="00DF526C">
        <w:rPr>
          <w:rFonts w:eastAsia="Times New Roman" w:cstheme="minorHAnsi"/>
          <w:noProof/>
        </w:rPr>
        <w:t>.</w:t>
      </w:r>
      <w:bookmarkEnd w:id="4"/>
    </w:p>
    <w:p w14:paraId="14BB5AF7" w14:textId="5AE45FBF" w:rsidR="0044537F" w:rsidRPr="00E50626" w:rsidRDefault="0044537F" w:rsidP="0083174F">
      <w:pPr>
        <w:pStyle w:val="ListParagraph"/>
        <w:numPr>
          <w:ilvl w:val="0"/>
          <w:numId w:val="15"/>
        </w:numPr>
        <w:jc w:val="both"/>
        <w:rPr>
          <w:rFonts w:cstheme="minorHAnsi"/>
        </w:rPr>
      </w:pPr>
      <w:bookmarkStart w:id="5" w:name="_Hlk70960133"/>
      <w:r>
        <w:rPr>
          <w:rFonts w:cstheme="minorHAnsi"/>
        </w:rPr>
        <w:t>Acknowledging the attention that has been directed to ensuring the purpose of each element of assessment is clear and linked to programme outcomes</w:t>
      </w:r>
      <w:r w:rsidR="00DF526C">
        <w:rPr>
          <w:rFonts w:cstheme="minorHAnsi"/>
        </w:rPr>
        <w:t xml:space="preserve"> to mitigate the potential for over-assessment and learners’ workload. </w:t>
      </w:r>
    </w:p>
    <w:bookmarkEnd w:id="5"/>
    <w:p w14:paraId="484CE03C" w14:textId="736A706B" w:rsidR="00AB25A0" w:rsidRPr="00E50626" w:rsidRDefault="00E50626" w:rsidP="0083174F">
      <w:pPr>
        <w:pStyle w:val="ListParagraph"/>
        <w:numPr>
          <w:ilvl w:val="0"/>
          <w:numId w:val="15"/>
        </w:numPr>
        <w:jc w:val="both"/>
        <w:rPr>
          <w:rFonts w:cstheme="minorHAnsi"/>
        </w:rPr>
      </w:pPr>
      <w:r>
        <w:rPr>
          <w:rFonts w:cstheme="minorHAnsi"/>
        </w:rPr>
        <w:t>T</w:t>
      </w:r>
      <w:r w:rsidRPr="00E50626">
        <w:rPr>
          <w:rFonts w:cstheme="minorHAnsi"/>
        </w:rPr>
        <w:t xml:space="preserve">he validation document (Section 2.4) </w:t>
      </w:r>
      <w:r w:rsidR="00472C98">
        <w:rPr>
          <w:rFonts w:cstheme="minorHAnsi"/>
        </w:rPr>
        <w:t>is</w:t>
      </w:r>
      <w:r w:rsidRPr="00E50626">
        <w:rPr>
          <w:rFonts w:cstheme="minorHAnsi"/>
        </w:rPr>
        <w:t xml:space="preserve"> reviewed and revised to provide correct sequencing regarding the application process.</w:t>
      </w:r>
    </w:p>
    <w:p w14:paraId="1403E891" w14:textId="2F7AE1D3" w:rsidR="005A0A65" w:rsidRDefault="005A0A65" w:rsidP="005A0A65"/>
    <w:p w14:paraId="1836259C" w14:textId="704D8FDC" w:rsidR="005A0A65" w:rsidRDefault="005A0A65" w:rsidP="005A0A65"/>
    <w:p w14:paraId="6A94E1FB" w14:textId="6CAE4C26" w:rsidR="005A0A65" w:rsidRDefault="005A0A65" w:rsidP="005A0A65"/>
    <w:p w14:paraId="75AC3235" w14:textId="6A0F0460" w:rsidR="005A0A65" w:rsidRDefault="005A0A65" w:rsidP="005A0A65"/>
    <w:p w14:paraId="5D27D115" w14:textId="77777777" w:rsidR="005A0A65" w:rsidRDefault="005A0A65" w:rsidP="005A0A65"/>
    <w:p w14:paraId="031D4CE1" w14:textId="2A016EC9" w:rsidR="00C84708" w:rsidRPr="003546AE" w:rsidRDefault="00BC1208" w:rsidP="00C84708">
      <w:pPr>
        <w:pStyle w:val="Heading2"/>
        <w:numPr>
          <w:ilvl w:val="0"/>
          <w:numId w:val="0"/>
        </w:numPr>
      </w:pPr>
      <w:r w:rsidRPr="003546AE">
        <w:lastRenderedPageBreak/>
        <w:t>Declarations of Evaluators’ Interests</w:t>
      </w:r>
    </w:p>
    <w:p w14:paraId="161AFDDA" w14:textId="77777777" w:rsidR="00C84708" w:rsidRPr="003546AE" w:rsidRDefault="00C84708" w:rsidP="00C84708">
      <w:pPr>
        <w:rPr>
          <w:rFonts w:cstheme="minorHAnsi"/>
        </w:rPr>
      </w:pPr>
    </w:p>
    <w:p w14:paraId="24894AD3" w14:textId="77777777" w:rsidR="00C84708" w:rsidRPr="003546AE" w:rsidRDefault="00BC1208" w:rsidP="00C84708">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84708" w:rsidRPr="003546AE" w:rsidRDefault="00C84708" w:rsidP="00C84708">
      <w:pPr>
        <w:rPr>
          <w:rFonts w:cstheme="minorHAnsi"/>
        </w:rPr>
      </w:pPr>
    </w:p>
    <w:p w14:paraId="4FDBA6A0" w14:textId="147C5FD2" w:rsidR="00C84708" w:rsidRPr="003546AE" w:rsidRDefault="00BC1208" w:rsidP="0083174F">
      <w:pPr>
        <w:rPr>
          <w:rFonts w:cstheme="minorHAnsi"/>
        </w:rPr>
      </w:pPr>
      <w:r w:rsidRPr="003546AE">
        <w:rPr>
          <w:rFonts w:cstheme="minorHAnsi"/>
        </w:rPr>
        <w:t xml:space="preserve">Panel chairperson:  </w:t>
      </w:r>
      <w:r w:rsidR="007B506F">
        <w:rPr>
          <w:rFonts w:cstheme="minorHAnsi"/>
        </w:rPr>
        <w:t>Eric A. Derr</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r w:rsidR="007B506F">
        <w:rPr>
          <w:rFonts w:cstheme="minorHAnsi"/>
        </w:rPr>
        <w:t>4 May 2021</w:t>
      </w:r>
    </w:p>
    <w:p w14:paraId="389426E9" w14:textId="489336BB" w:rsidR="00C84708" w:rsidRPr="003546AE" w:rsidRDefault="007B506F" w:rsidP="0083174F">
      <w:pPr>
        <w:rPr>
          <w:rFonts w:cstheme="minorHAnsi"/>
        </w:rPr>
      </w:pPr>
      <w:r>
        <w:rPr>
          <w:rFonts w:cstheme="minorHAnsi"/>
          <w:noProof/>
        </w:rPr>
        <w:drawing>
          <wp:anchor distT="0" distB="0" distL="114300" distR="114300" simplePos="0" relativeHeight="251658240" behindDoc="0" locked="0" layoutInCell="1" allowOverlap="1" wp14:anchorId="4CFBC010" wp14:editId="6C7BD29D">
            <wp:simplePos x="0" y="0"/>
            <wp:positionH relativeFrom="column">
              <wp:posOffset>518657</wp:posOffset>
            </wp:positionH>
            <wp:positionV relativeFrom="paragraph">
              <wp:posOffset>107675</wp:posOffset>
            </wp:positionV>
            <wp:extent cx="1371600" cy="396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396240"/>
                    </a:xfrm>
                    <a:prstGeom prst="rect">
                      <a:avLst/>
                    </a:prstGeom>
                    <a:noFill/>
                  </pic:spPr>
                </pic:pic>
              </a:graphicData>
            </a:graphic>
            <wp14:sizeRelH relativeFrom="page">
              <wp14:pctWidth>0</wp14:pctWidth>
            </wp14:sizeRelH>
            <wp14:sizeRelV relativeFrom="page">
              <wp14:pctHeight>0</wp14:pctHeight>
            </wp14:sizeRelV>
          </wp:anchor>
        </w:drawing>
      </w:r>
    </w:p>
    <w:p w14:paraId="26A589DE" w14:textId="733EBADA" w:rsidR="00C84708" w:rsidRPr="003546AE" w:rsidRDefault="00BC1208" w:rsidP="0083174F">
      <w:pPr>
        <w:rPr>
          <w:rFonts w:cstheme="minorHAnsi"/>
        </w:rPr>
      </w:pPr>
      <w:r w:rsidRPr="003546AE">
        <w:rPr>
          <w:rFonts w:cstheme="minorHAnsi"/>
        </w:rPr>
        <w:t xml:space="preserve">Signed:                                                                    </w:t>
      </w:r>
      <w:r w:rsidRPr="003546AE">
        <w:rPr>
          <w:rFonts w:cstheme="minorHAnsi"/>
        </w:rPr>
        <w:tab/>
      </w:r>
    </w:p>
    <w:p w14:paraId="37A6DF98" w14:textId="72271129" w:rsidR="00C84708" w:rsidRDefault="00C84708" w:rsidP="0083174F">
      <w:pPr>
        <w:rPr>
          <w:rFonts w:cstheme="minorHAnsi"/>
        </w:rPr>
      </w:pPr>
    </w:p>
    <w:p w14:paraId="5FCA39D2" w14:textId="5D90466E" w:rsidR="00AB25A0" w:rsidRDefault="00AB25A0" w:rsidP="00C84708">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4FD9" w14:textId="77777777" w:rsidR="009E6F9F" w:rsidRDefault="009E6F9F">
      <w:pPr>
        <w:spacing w:after="0" w:line="240" w:lineRule="auto"/>
      </w:pPr>
      <w:r>
        <w:separator/>
      </w:r>
    </w:p>
  </w:endnote>
  <w:endnote w:type="continuationSeparator" w:id="0">
    <w:p w14:paraId="28725D87" w14:textId="77777777" w:rsidR="009E6F9F" w:rsidRDefault="009E6F9F">
      <w:pPr>
        <w:spacing w:after="0" w:line="240" w:lineRule="auto"/>
      </w:pPr>
      <w:r>
        <w:continuationSeparator/>
      </w:r>
    </w:p>
  </w:endnote>
  <w:endnote w:type="continuationNotice" w:id="1">
    <w:p w14:paraId="430A31F6" w14:textId="77777777" w:rsidR="00D554B7" w:rsidRDefault="00D55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D69" w14:textId="77777777" w:rsidR="009E6F9F" w:rsidRDefault="009E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25DFB4BB" w:rsidR="009E6F9F" w:rsidRDefault="009E6F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F30F1D" w14:textId="77777777" w:rsidR="009E6F9F" w:rsidRDefault="009E6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18B2" w14:textId="77777777" w:rsidR="009E6F9F" w:rsidRDefault="009E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E208" w14:textId="77777777" w:rsidR="009E6F9F" w:rsidRDefault="009E6F9F">
      <w:pPr>
        <w:spacing w:after="0" w:line="240" w:lineRule="auto"/>
      </w:pPr>
      <w:r>
        <w:separator/>
      </w:r>
    </w:p>
  </w:footnote>
  <w:footnote w:type="continuationSeparator" w:id="0">
    <w:p w14:paraId="1BF0F488" w14:textId="77777777" w:rsidR="009E6F9F" w:rsidRDefault="009E6F9F">
      <w:pPr>
        <w:spacing w:after="0" w:line="240" w:lineRule="auto"/>
      </w:pPr>
      <w:r>
        <w:continuationSeparator/>
      </w:r>
    </w:p>
  </w:footnote>
  <w:footnote w:type="continuationNotice" w:id="1">
    <w:p w14:paraId="45396BAB" w14:textId="77777777" w:rsidR="00D554B7" w:rsidRDefault="00D554B7">
      <w:pPr>
        <w:spacing w:after="0" w:line="240" w:lineRule="auto"/>
      </w:pPr>
    </w:p>
  </w:footnote>
  <w:footnote w:id="2">
    <w:p w14:paraId="1D41579C" w14:textId="09261DD5" w:rsidR="009E6F9F" w:rsidRPr="005A0A65" w:rsidRDefault="009E6F9F">
      <w:pPr>
        <w:pStyle w:val="FootnoteText"/>
        <w:rPr>
          <w:lang w:val="en-GB"/>
        </w:rPr>
      </w:pPr>
      <w:r w:rsidRPr="005A0A65">
        <w:rPr>
          <w:rStyle w:val="FootnoteReference"/>
        </w:rPr>
        <w:footnoteRef/>
      </w:r>
      <w:r w:rsidRPr="005A0A65">
        <w:t xml:space="preserve"> </w:t>
      </w:r>
      <w:r w:rsidRPr="005A0A65">
        <w:rPr>
          <w:rFonts w:cstheme="minorHAnsi"/>
        </w:rPr>
        <w:t xml:space="preserve">Government of Ireland. (2018a) </w:t>
      </w:r>
      <w:r w:rsidRPr="005A0A65">
        <w:rPr>
          <w:rFonts w:cstheme="minorHAnsi"/>
          <w:i/>
        </w:rPr>
        <w:t xml:space="preserve">A whole-of-government strategy for babies, young </w:t>
      </w:r>
      <w:proofErr w:type="gramStart"/>
      <w:r w:rsidRPr="005A0A65">
        <w:rPr>
          <w:rFonts w:cstheme="minorHAnsi"/>
          <w:i/>
        </w:rPr>
        <w:t>children</w:t>
      </w:r>
      <w:proofErr w:type="gramEnd"/>
      <w:r w:rsidRPr="005A0A65">
        <w:rPr>
          <w:rFonts w:cstheme="minorHAnsi"/>
          <w:i/>
        </w:rPr>
        <w:t xml:space="preserve"> and their families 2019-2028</w:t>
      </w:r>
      <w:r w:rsidRPr="005A0A65">
        <w:rPr>
          <w:rFonts w:cstheme="minorHAnsi"/>
        </w:rPr>
        <w:t xml:space="preserve">, Dublin: Government Publications Office, available: </w:t>
      </w:r>
      <w:hyperlink r:id="rId1" w:history="1">
        <w:r w:rsidRPr="005A0A65">
          <w:rPr>
            <w:rStyle w:val="Hyperlink"/>
            <w:rFonts w:cstheme="minorHAnsi"/>
            <w:color w:val="auto"/>
          </w:rPr>
          <w:t>https://assets.gov.ie/31184/62acc54f4bdf4405b74e53a4afb8e71b.pdf</w:t>
        </w:r>
      </w:hyperlink>
    </w:p>
  </w:footnote>
  <w:footnote w:id="3">
    <w:p w14:paraId="084A202B" w14:textId="77777777" w:rsidR="009E6F9F" w:rsidRPr="005A0A65" w:rsidRDefault="009E6F9F" w:rsidP="00D661CA">
      <w:pPr>
        <w:spacing w:after="0" w:line="240" w:lineRule="auto"/>
        <w:jc w:val="both"/>
        <w:rPr>
          <w:rFonts w:eastAsia="Palatino Linotype" w:cstheme="minorHAnsi"/>
          <w:color w:val="000000"/>
          <w:sz w:val="20"/>
          <w:szCs w:val="20"/>
        </w:rPr>
      </w:pPr>
      <w:r w:rsidRPr="005A0A65">
        <w:rPr>
          <w:rStyle w:val="FootnoteReference"/>
          <w:sz w:val="20"/>
          <w:szCs w:val="20"/>
        </w:rPr>
        <w:footnoteRef/>
      </w:r>
      <w:r w:rsidRPr="005A0A65">
        <w:rPr>
          <w:sz w:val="20"/>
          <w:szCs w:val="20"/>
        </w:rPr>
        <w:t xml:space="preserve"> </w:t>
      </w:r>
      <w:r w:rsidRPr="005A0A65">
        <w:rPr>
          <w:rFonts w:eastAsia="Palatino Linotype" w:cstheme="minorHAnsi"/>
          <w:color w:val="000000"/>
          <w:sz w:val="20"/>
          <w:szCs w:val="20"/>
        </w:rPr>
        <w:t xml:space="preserve">Organisation for Economic Co-operation and Development (2020). </w:t>
      </w:r>
      <w:r w:rsidRPr="005A0A65">
        <w:rPr>
          <w:rFonts w:eastAsia="Palatino Linotype" w:cstheme="minorHAnsi"/>
          <w:i/>
          <w:color w:val="000000"/>
          <w:sz w:val="20"/>
          <w:szCs w:val="20"/>
        </w:rPr>
        <w:t xml:space="preserve">Lessons for </w:t>
      </w:r>
    </w:p>
    <w:p w14:paraId="1EC0D43C" w14:textId="77777777" w:rsidR="009E6F9F" w:rsidRPr="005A0A65" w:rsidRDefault="009E6F9F" w:rsidP="00D661CA">
      <w:pPr>
        <w:spacing w:after="0" w:line="240" w:lineRule="auto"/>
        <w:jc w:val="both"/>
        <w:rPr>
          <w:rFonts w:eastAsia="Palatino Linotype" w:cstheme="minorHAnsi"/>
          <w:color w:val="000000"/>
          <w:sz w:val="20"/>
          <w:szCs w:val="20"/>
        </w:rPr>
      </w:pPr>
      <w:r w:rsidRPr="005A0A65">
        <w:rPr>
          <w:rFonts w:eastAsia="Palatino Linotype" w:cstheme="minorHAnsi"/>
          <w:i/>
          <w:color w:val="000000"/>
          <w:sz w:val="20"/>
          <w:szCs w:val="20"/>
        </w:rPr>
        <w:t>education from covid-19. A policy maker’s handbook for more resilient systems</w:t>
      </w:r>
      <w:r w:rsidRPr="005A0A65">
        <w:rPr>
          <w:rFonts w:eastAsia="Palatino Linotype" w:cstheme="minorHAnsi"/>
          <w:color w:val="000000"/>
          <w:sz w:val="20"/>
          <w:szCs w:val="20"/>
        </w:rPr>
        <w:t xml:space="preserve">. OECD Publishing, available:  </w:t>
      </w:r>
      <w:hyperlink r:id="rId2" w:history="1">
        <w:r w:rsidRPr="00C825A1">
          <w:rPr>
            <w:rStyle w:val="Hyperlink"/>
            <w:rFonts w:eastAsia="Palatino Linotype" w:cstheme="minorHAnsi"/>
            <w:color w:val="auto"/>
            <w:sz w:val="20"/>
            <w:szCs w:val="20"/>
          </w:rPr>
          <w:t>https://doi.org/10.1787/0a530888-en</w:t>
        </w:r>
      </w:hyperlink>
      <w:r w:rsidRPr="005A0A65">
        <w:rPr>
          <w:rFonts w:eastAsia="Palatino Linotype" w:cstheme="minorHAnsi"/>
          <w:color w:val="000000"/>
          <w:sz w:val="20"/>
          <w:szCs w:val="20"/>
        </w:rPr>
        <w:t xml:space="preserve"> </w:t>
      </w:r>
    </w:p>
    <w:p w14:paraId="1D90755F" w14:textId="1EFCC0A6" w:rsidR="009E6F9F" w:rsidRPr="005A0A65" w:rsidRDefault="009E6F9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6BA" w14:textId="77777777" w:rsidR="009E6F9F" w:rsidRDefault="009E6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304" w14:textId="77777777" w:rsidR="009E6F9F" w:rsidRDefault="009E6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14F" w14:textId="77777777" w:rsidR="009E6F9F" w:rsidRDefault="009E6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7194C"/>
    <w:multiLevelType w:val="hybridMultilevel"/>
    <w:tmpl w:val="6ADA9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0851A0"/>
    <w:multiLevelType w:val="hybridMultilevel"/>
    <w:tmpl w:val="3940D7CA"/>
    <w:lvl w:ilvl="0" w:tplc="3F10D220">
      <w:start w:val="1"/>
      <w:numFmt w:val="bullet"/>
      <w:lvlText w:val=""/>
      <w:lvlJc w:val="left"/>
      <w:pPr>
        <w:ind w:left="645" w:hanging="245"/>
      </w:pPr>
      <w:rPr>
        <w:rFonts w:ascii="Symbol" w:hAnsi="Symbol" w:hint="default"/>
        <w:w w:val="100"/>
        <w:sz w:val="22"/>
        <w:szCs w:val="22"/>
        <w:lang w:val="en-IE" w:eastAsia="en-IE" w:bidi="en-IE"/>
      </w:rPr>
    </w:lvl>
    <w:lvl w:ilvl="1" w:tplc="AEE044EC">
      <w:numFmt w:val="bullet"/>
      <w:lvlText w:val="•"/>
      <w:lvlJc w:val="left"/>
      <w:pPr>
        <w:ind w:left="1582" w:hanging="245"/>
      </w:pPr>
      <w:rPr>
        <w:rFonts w:hint="default"/>
        <w:lang w:val="en-IE" w:eastAsia="en-IE" w:bidi="en-IE"/>
      </w:rPr>
    </w:lvl>
    <w:lvl w:ilvl="2" w:tplc="79A07CBA">
      <w:numFmt w:val="bullet"/>
      <w:lvlText w:val="•"/>
      <w:lvlJc w:val="left"/>
      <w:pPr>
        <w:ind w:left="2524" w:hanging="245"/>
      </w:pPr>
      <w:rPr>
        <w:rFonts w:hint="default"/>
        <w:lang w:val="en-IE" w:eastAsia="en-IE" w:bidi="en-IE"/>
      </w:rPr>
    </w:lvl>
    <w:lvl w:ilvl="3" w:tplc="64E62DFE">
      <w:numFmt w:val="bullet"/>
      <w:lvlText w:val="•"/>
      <w:lvlJc w:val="left"/>
      <w:pPr>
        <w:ind w:left="3466" w:hanging="245"/>
      </w:pPr>
      <w:rPr>
        <w:rFonts w:hint="default"/>
        <w:lang w:val="en-IE" w:eastAsia="en-IE" w:bidi="en-IE"/>
      </w:rPr>
    </w:lvl>
    <w:lvl w:ilvl="4" w:tplc="F990D3E6">
      <w:numFmt w:val="bullet"/>
      <w:lvlText w:val="•"/>
      <w:lvlJc w:val="left"/>
      <w:pPr>
        <w:ind w:left="4408" w:hanging="245"/>
      </w:pPr>
      <w:rPr>
        <w:rFonts w:hint="default"/>
        <w:lang w:val="en-IE" w:eastAsia="en-IE" w:bidi="en-IE"/>
      </w:rPr>
    </w:lvl>
    <w:lvl w:ilvl="5" w:tplc="985ECCFC">
      <w:numFmt w:val="bullet"/>
      <w:lvlText w:val="•"/>
      <w:lvlJc w:val="left"/>
      <w:pPr>
        <w:ind w:left="5350" w:hanging="245"/>
      </w:pPr>
      <w:rPr>
        <w:rFonts w:hint="default"/>
        <w:lang w:val="en-IE" w:eastAsia="en-IE" w:bidi="en-IE"/>
      </w:rPr>
    </w:lvl>
    <w:lvl w:ilvl="6" w:tplc="9DD45CF4">
      <w:numFmt w:val="bullet"/>
      <w:lvlText w:val="•"/>
      <w:lvlJc w:val="left"/>
      <w:pPr>
        <w:ind w:left="6292" w:hanging="245"/>
      </w:pPr>
      <w:rPr>
        <w:rFonts w:hint="default"/>
        <w:lang w:val="en-IE" w:eastAsia="en-IE" w:bidi="en-IE"/>
      </w:rPr>
    </w:lvl>
    <w:lvl w:ilvl="7" w:tplc="5C2C74A0">
      <w:numFmt w:val="bullet"/>
      <w:lvlText w:val="•"/>
      <w:lvlJc w:val="left"/>
      <w:pPr>
        <w:ind w:left="7234" w:hanging="245"/>
      </w:pPr>
      <w:rPr>
        <w:rFonts w:hint="default"/>
        <w:lang w:val="en-IE" w:eastAsia="en-IE" w:bidi="en-IE"/>
      </w:rPr>
    </w:lvl>
    <w:lvl w:ilvl="8" w:tplc="94E0F6EA">
      <w:numFmt w:val="bullet"/>
      <w:lvlText w:val="•"/>
      <w:lvlJc w:val="left"/>
      <w:pPr>
        <w:ind w:left="8176" w:hanging="245"/>
      </w:pPr>
      <w:rPr>
        <w:rFonts w:hint="default"/>
        <w:lang w:val="en-IE" w:eastAsia="en-IE" w:bidi="en-IE"/>
      </w:r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D0D7CC2"/>
    <w:multiLevelType w:val="hybridMultilevel"/>
    <w:tmpl w:val="FC5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A3133B9"/>
    <w:multiLevelType w:val="hybridMultilevel"/>
    <w:tmpl w:val="6F0A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10"/>
  </w:num>
  <w:num w:numId="4">
    <w:abstractNumId w:val="9"/>
  </w:num>
  <w:num w:numId="5">
    <w:abstractNumId w:val="7"/>
  </w:num>
  <w:num w:numId="6">
    <w:abstractNumId w:val="14"/>
  </w:num>
  <w:num w:numId="7">
    <w:abstractNumId w:val="16"/>
  </w:num>
  <w:num w:numId="8">
    <w:abstractNumId w:val="8"/>
  </w:num>
  <w:num w:numId="9">
    <w:abstractNumId w:val="4"/>
  </w:num>
  <w:num w:numId="10">
    <w:abstractNumId w:val="3"/>
  </w:num>
  <w:num w:numId="11">
    <w:abstractNumId w:val="0"/>
  </w:num>
  <w:num w:numId="12">
    <w:abstractNumId w:val="12"/>
  </w:num>
  <w:num w:numId="13">
    <w:abstractNumId w:val="11"/>
  </w:num>
  <w:num w:numId="14">
    <w:abstractNumId w:val="15"/>
  </w:num>
  <w:num w:numId="15">
    <w:abstractNumId w:val="5"/>
  </w:num>
  <w:num w:numId="16">
    <w:abstractNumId w:val="18"/>
  </w:num>
  <w:num w:numId="17">
    <w:abstractNumId w:val="2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13"/>
  </w:num>
  <w:num w:numId="22">
    <w:abstractNumId w:val="17"/>
  </w:num>
  <w:num w:numId="23">
    <w:abstractNumId w:val="2"/>
  </w:num>
  <w:num w:numId="24">
    <w:abstractNumId w:val="6"/>
  </w:num>
  <w:num w:numId="25">
    <w:abstractNumId w:val="19"/>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8"/>
    <w:rsid w:val="000169E2"/>
    <w:rsid w:val="00036062"/>
    <w:rsid w:val="0004649D"/>
    <w:rsid w:val="000E6788"/>
    <w:rsid w:val="000F57CC"/>
    <w:rsid w:val="00146F0A"/>
    <w:rsid w:val="00154934"/>
    <w:rsid w:val="001C59E3"/>
    <w:rsid w:val="00201EDF"/>
    <w:rsid w:val="002253F7"/>
    <w:rsid w:val="0023760C"/>
    <w:rsid w:val="0033092E"/>
    <w:rsid w:val="00332298"/>
    <w:rsid w:val="003567DB"/>
    <w:rsid w:val="003C3C3C"/>
    <w:rsid w:val="004107AA"/>
    <w:rsid w:val="0044037F"/>
    <w:rsid w:val="0044537F"/>
    <w:rsid w:val="00472C98"/>
    <w:rsid w:val="0048373B"/>
    <w:rsid w:val="004A0234"/>
    <w:rsid w:val="004B348A"/>
    <w:rsid w:val="004C0B17"/>
    <w:rsid w:val="00582032"/>
    <w:rsid w:val="005A0A65"/>
    <w:rsid w:val="005D05EA"/>
    <w:rsid w:val="00605139"/>
    <w:rsid w:val="00621378"/>
    <w:rsid w:val="00642EB7"/>
    <w:rsid w:val="00667AD3"/>
    <w:rsid w:val="00683744"/>
    <w:rsid w:val="006B3F08"/>
    <w:rsid w:val="006B574C"/>
    <w:rsid w:val="006C09BA"/>
    <w:rsid w:val="006C0C05"/>
    <w:rsid w:val="00736B82"/>
    <w:rsid w:val="00763EC3"/>
    <w:rsid w:val="0077390F"/>
    <w:rsid w:val="0079117E"/>
    <w:rsid w:val="007B506F"/>
    <w:rsid w:val="0083174F"/>
    <w:rsid w:val="008948AF"/>
    <w:rsid w:val="00920F81"/>
    <w:rsid w:val="00922143"/>
    <w:rsid w:val="00922B89"/>
    <w:rsid w:val="009729F8"/>
    <w:rsid w:val="009B03D5"/>
    <w:rsid w:val="009E6F9F"/>
    <w:rsid w:val="009F648F"/>
    <w:rsid w:val="00A23CB8"/>
    <w:rsid w:val="00A9526F"/>
    <w:rsid w:val="00AB25A0"/>
    <w:rsid w:val="00AE38BA"/>
    <w:rsid w:val="00B319D4"/>
    <w:rsid w:val="00B409F9"/>
    <w:rsid w:val="00B73997"/>
    <w:rsid w:val="00BC0BF3"/>
    <w:rsid w:val="00BC1208"/>
    <w:rsid w:val="00BC3B0F"/>
    <w:rsid w:val="00BE1976"/>
    <w:rsid w:val="00C3219B"/>
    <w:rsid w:val="00C825A1"/>
    <w:rsid w:val="00C833A0"/>
    <w:rsid w:val="00C84708"/>
    <w:rsid w:val="00C94FA0"/>
    <w:rsid w:val="00C96327"/>
    <w:rsid w:val="00CE0913"/>
    <w:rsid w:val="00D028F8"/>
    <w:rsid w:val="00D54C3F"/>
    <w:rsid w:val="00D554B7"/>
    <w:rsid w:val="00D661CA"/>
    <w:rsid w:val="00D924D0"/>
    <w:rsid w:val="00DC664A"/>
    <w:rsid w:val="00DC7B5E"/>
    <w:rsid w:val="00DF526C"/>
    <w:rsid w:val="00E07D5A"/>
    <w:rsid w:val="00E10BDA"/>
    <w:rsid w:val="00E42D3D"/>
    <w:rsid w:val="00E50626"/>
    <w:rsid w:val="00E7670B"/>
    <w:rsid w:val="00EB559C"/>
    <w:rsid w:val="00ED7CC3"/>
    <w:rsid w:val="00F42849"/>
    <w:rsid w:val="00F42FF9"/>
    <w:rsid w:val="00F46A6C"/>
    <w:rsid w:val="00F900FF"/>
    <w:rsid w:val="00FE0FFD"/>
    <w:rsid w:val="24496296"/>
    <w:rsid w:val="48FDC1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TableParagraph">
    <w:name w:val="Table Paragraph"/>
    <w:basedOn w:val="Normal"/>
    <w:uiPriority w:val="1"/>
    <w:qFormat/>
    <w:rsid w:val="00642EB7"/>
    <w:pPr>
      <w:widowControl w:val="0"/>
      <w:autoSpaceDE w:val="0"/>
      <w:autoSpaceDN w:val="0"/>
      <w:spacing w:after="0" w:line="240" w:lineRule="auto"/>
      <w:ind w:left="107"/>
    </w:pPr>
    <w:rPr>
      <w:rFonts w:ascii="Calibri" w:eastAsia="Calibri" w:hAnsi="Calibri" w:cs="Calibri"/>
      <w:lang w:eastAsia="en-IE" w:bidi="en-IE"/>
    </w:rPr>
  </w:style>
  <w:style w:type="character" w:customStyle="1" w:styleId="ListParagraphChar">
    <w:name w:val="List Paragraph Char"/>
    <w:link w:val="ListParagraph"/>
    <w:uiPriority w:val="34"/>
    <w:locked/>
    <w:rsid w:val="00201EDF"/>
  </w:style>
  <w:style w:type="character" w:styleId="CommentReference">
    <w:name w:val="annotation reference"/>
    <w:basedOn w:val="DefaultParagraphFont"/>
    <w:uiPriority w:val="99"/>
    <w:semiHidden/>
    <w:unhideWhenUsed/>
    <w:rsid w:val="00D661CA"/>
    <w:rPr>
      <w:sz w:val="16"/>
      <w:szCs w:val="16"/>
    </w:rPr>
  </w:style>
  <w:style w:type="paragraph" w:styleId="CommentText">
    <w:name w:val="annotation text"/>
    <w:basedOn w:val="Normal"/>
    <w:link w:val="CommentTextChar"/>
    <w:uiPriority w:val="99"/>
    <w:semiHidden/>
    <w:unhideWhenUsed/>
    <w:rsid w:val="00D661CA"/>
    <w:pPr>
      <w:spacing w:line="240" w:lineRule="auto"/>
    </w:pPr>
    <w:rPr>
      <w:sz w:val="20"/>
      <w:szCs w:val="20"/>
    </w:rPr>
  </w:style>
  <w:style w:type="character" w:customStyle="1" w:styleId="CommentTextChar">
    <w:name w:val="Comment Text Char"/>
    <w:basedOn w:val="DefaultParagraphFont"/>
    <w:link w:val="CommentText"/>
    <w:uiPriority w:val="99"/>
    <w:semiHidden/>
    <w:rsid w:val="00D661CA"/>
    <w:rPr>
      <w:sz w:val="20"/>
      <w:szCs w:val="20"/>
    </w:rPr>
  </w:style>
  <w:style w:type="character" w:styleId="Hyperlink">
    <w:name w:val="Hyperlink"/>
    <w:uiPriority w:val="99"/>
    <w:rsid w:val="00D661CA"/>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D661CA"/>
    <w:rPr>
      <w:b/>
      <w:bCs/>
    </w:rPr>
  </w:style>
  <w:style w:type="character" w:customStyle="1" w:styleId="CommentSubjectChar">
    <w:name w:val="Comment Subject Char"/>
    <w:basedOn w:val="CommentTextChar"/>
    <w:link w:val="CommentSubject"/>
    <w:uiPriority w:val="99"/>
    <w:semiHidden/>
    <w:rsid w:val="00D66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0a530888-en" TargetMode="External"/><Relationship Id="rId1" Type="http://schemas.openxmlformats.org/officeDocument/2006/relationships/hyperlink" Target="https://assets.gov.ie/31184/62acc54f4bdf4405b74e53a4afb8e71b.pdf"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ValidationReport" ma:contentTypeID="0x01010015713397FE762E42AA2BDA17D8EF61571900C626235A3D7BEA45823E5D8A3F526FB2" ma:contentTypeVersion="3" ma:contentTypeDescription="Create a new document." ma:contentTypeScope="" ma:versionID="68092c3a7c89d14c334239027fd4cba9">
  <xsd:schema xmlns:xsd="http://www.w3.org/2001/XMLSchema" xmlns:xs="http://www.w3.org/2001/XMLSchema" xmlns:p="http://schemas.microsoft.com/office/2006/metadata/properties" xmlns:ns2="7f06985b-f80d-4fd0-85b0-55a9421c7d47" targetNamespace="http://schemas.microsoft.com/office/2006/metadata/properties" ma:root="true" ma:fieldsID="03eb070477601756f061f3b889dd95a8" ns2:_="">
    <xsd:import namespace="7f06985b-f80d-4fd0-85b0-55a9421c7d47"/>
    <xsd:element name="properties">
      <xsd:complexType>
        <xsd:sequence>
          <xsd:element name="documentManagement">
            <xsd:complexType>
              <xsd:all>
                <xsd:element ref="ns2:ProgrammeID" minOccurs="0"/>
                <xsd:element ref="ns2:ProgrammeCode" minOccurs="0"/>
                <xsd:element ref="ns2:ProviderCode" minOccurs="0"/>
                <xsd:element ref="ns2:DocumentType" minOccurs="0"/>
                <xsd:element ref="ns2:DocumentStatus" minOccurs="0"/>
                <xsd:element ref="ns2:Pa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985b-f80d-4fd0-85b0-55a9421c7d47" elementFormDefault="qualified">
    <xsd:import namespace="http://schemas.microsoft.com/office/2006/documentManagement/types"/>
    <xsd:import namespace="http://schemas.microsoft.com/office/infopath/2007/PartnerControls"/>
    <xsd:element name="ProgrammeID" ma:index="8" nillable="true" ma:displayName="Programme ID" ma:internalName="ProgrammeID">
      <xsd:simpleType>
        <xsd:restriction base="dms:Text">
          <xsd:maxLength value="255"/>
        </xsd:restriction>
      </xsd:simpleType>
    </xsd:element>
    <xsd:element name="ProgrammeCode" ma:index="9" nillable="true" ma:displayName="Programme Code" ma:internalName="ProgrammeCode">
      <xsd:simpleType>
        <xsd:restriction base="dms:Text">
          <xsd:maxLength value="255"/>
        </xsd:restriction>
      </xsd:simpleType>
    </xsd:element>
    <xsd:element name="ProviderCode" ma:index="10" nillable="true" ma:displayName="Provider Code" ma:internalName="ProviderCode">
      <xsd:simpleType>
        <xsd:restriction base="dms:Text">
          <xsd:maxLength value="255"/>
        </xsd:restriction>
      </xsd:simpleType>
    </xsd:element>
    <xsd:element name="DocumentType" ma:index="11" nillable="true" ma:displayName="Document Type" ma:default="Other" ma:format="Dropdown" ma:indexed="true" ma:internalName="DocumentType">
      <xsd:simpleType>
        <xsd:restriction base="dms:Choice">
          <xsd:enumeration value="Authorization"/>
          <xsd:enumeration value="Award Specification"/>
          <xsd:enumeration value="Certificate of Validation"/>
          <xsd:enumeration value="Condition of Validation Satisfied"/>
          <xsd:enumeration value="Consensus Report"/>
          <xsd:enumeration value="Cover Note"/>
          <xsd:enumeration value="Evaluator Report"/>
          <xsd:enumeration value="Fee Cover Note"/>
          <xsd:enumeration value="Grounds for Appeal"/>
          <xsd:enumeration value="Invoice"/>
          <xsd:enumeration value="Other"/>
          <xsd:enumeration value="Panel Reports"/>
          <xsd:enumeration value="Panel Sign Off"/>
          <xsd:enumeration value="PEL Evidence"/>
          <xsd:enumeration value="Programme Descriptor"/>
          <xsd:enumeration value="Programme Document"/>
          <xsd:enumeration value="Programme Review Report"/>
          <xsd:enumeration value="Programme Schedule"/>
          <xsd:enumeration value="QA Approval Latter"/>
          <xsd:enumeration value="Refusal Letter"/>
          <xsd:enumeration value="Response Document"/>
          <xsd:enumeration value="RFI"/>
          <xsd:enumeration value="Self Evaluation report"/>
          <xsd:enumeration value="Statement of Conditions satisfied"/>
          <xsd:enumeration value="Terms and Condition"/>
          <xsd:enumeration value="Validation Report"/>
          <xsd:enumeration value="Verification Report"/>
        </xsd:restriction>
      </xsd:simpleType>
    </xsd:element>
    <xsd:element name="DocumentStatus" ma:index="12" nillable="true" ma:displayName="Document Status" ma:internalName="DocumentStatus">
      <xsd:simpleType>
        <xsd:restriction base="dms:Text">
          <xsd:maxLength value="255"/>
        </xsd:restriction>
      </xsd:simpleType>
    </xsd:element>
    <xsd:element name="PaaID" ma:index="13" nillable="true" ma:displayName="PaaID" ma:internalName="Pa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16512-C55D-49A1-B892-6AB1AA1290DC}"/>
</file>

<file path=customXml/itemProps2.xml><?xml version="1.0" encoding="utf-8"?>
<ds:datastoreItem xmlns:ds="http://schemas.openxmlformats.org/officeDocument/2006/customXml" ds:itemID="{19A0FE23-DD85-4E45-B8F2-012BBEE486D3}"/>
</file>

<file path=customXml/itemProps3.xml><?xml version="1.0" encoding="utf-8"?>
<ds:datastoreItem xmlns:ds="http://schemas.openxmlformats.org/officeDocument/2006/customXml" ds:itemID="{6183AA7D-FB62-4066-821A-32A219CBEB5F}"/>
</file>

<file path=customXml/itemProps4.xml><?xml version="1.0" encoding="utf-8"?>
<ds:datastoreItem xmlns:ds="http://schemas.openxmlformats.org/officeDocument/2006/customXml" ds:itemID="{BC0E66B2-C184-4C85-A601-82F9CC6675A7}"/>
</file>

<file path=customXml/itemProps5.xml><?xml version="1.0" encoding="utf-8"?>
<ds:datastoreItem xmlns:ds="http://schemas.openxmlformats.org/officeDocument/2006/customXml" ds:itemID="{F32692A8-EBA0-499A-804E-EE568D349D9E}"/>
</file>

<file path=docProps/app.xml><?xml version="1.0" encoding="utf-8"?>
<Properties xmlns="http://schemas.openxmlformats.org/officeDocument/2006/extended-properties" xmlns:vt="http://schemas.openxmlformats.org/officeDocument/2006/docPropsVTypes">
  <Template>Normal</Template>
  <TotalTime>0</TotalTime>
  <Pages>8</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2</cp:revision>
  <dcterms:created xsi:type="dcterms:W3CDTF">2021-05-18T16:04:00Z</dcterms:created>
  <dcterms:modified xsi:type="dcterms:W3CDTF">2021-05-18T16:04:00Z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